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33A2" w14:textId="77777777" w:rsidR="007824DF" w:rsidRDefault="007824DF" w:rsidP="007824DF">
      <w:pPr>
        <w:pStyle w:val="Title"/>
        <w:jc w:val="center"/>
        <w:rPr>
          <w:rFonts w:ascii="Cambria" w:hAnsi="Cambria"/>
          <w:b/>
        </w:rPr>
      </w:pPr>
    </w:p>
    <w:p w14:paraId="6A9A87C5" w14:textId="77777777" w:rsidR="007824DF" w:rsidRDefault="007824DF" w:rsidP="007824DF">
      <w:pPr>
        <w:pStyle w:val="Title"/>
        <w:jc w:val="center"/>
        <w:rPr>
          <w:rFonts w:ascii="Cambria" w:hAnsi="Cambria"/>
          <w:b/>
        </w:rPr>
      </w:pPr>
    </w:p>
    <w:p w14:paraId="45578591" w14:textId="77777777" w:rsidR="007824DF" w:rsidRDefault="007824DF" w:rsidP="007824DF">
      <w:pPr>
        <w:pStyle w:val="Title"/>
        <w:jc w:val="center"/>
        <w:rPr>
          <w:rFonts w:ascii="Cambria" w:hAnsi="Cambria"/>
          <w:b/>
        </w:rPr>
      </w:pPr>
    </w:p>
    <w:p w14:paraId="49ABEA89" w14:textId="77777777" w:rsidR="007824DF" w:rsidRDefault="007824DF" w:rsidP="007824DF">
      <w:pPr>
        <w:pStyle w:val="Title"/>
        <w:jc w:val="center"/>
        <w:rPr>
          <w:rFonts w:ascii="Cambria" w:hAnsi="Cambria"/>
          <w:b/>
        </w:rPr>
      </w:pPr>
    </w:p>
    <w:p w14:paraId="635161F5" w14:textId="77777777" w:rsidR="001F0218" w:rsidRDefault="007824DF" w:rsidP="00EA76EC">
      <w:pPr>
        <w:pStyle w:val="Title"/>
        <w:jc w:val="center"/>
        <w:rPr>
          <w:rFonts w:ascii="Cambria" w:hAnsi="Cambria"/>
          <w:b/>
        </w:rPr>
      </w:pPr>
      <w:r w:rsidRPr="007824DF">
        <w:rPr>
          <w:rFonts w:ascii="Cambria" w:hAnsi="Cambria"/>
          <w:b/>
        </w:rPr>
        <w:t>SCOPING PROPOSAL</w:t>
      </w:r>
      <w:r w:rsidR="001F0218">
        <w:rPr>
          <w:rFonts w:ascii="Cambria" w:hAnsi="Cambria"/>
          <w:b/>
        </w:rPr>
        <w:t xml:space="preserve"> AND</w:t>
      </w:r>
    </w:p>
    <w:p w14:paraId="5C0172B5" w14:textId="04B7E15D" w:rsidR="00615C44" w:rsidRDefault="001F0218" w:rsidP="00EA76EC">
      <w:pPr>
        <w:pStyle w:val="Title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RISK ASSESSMENT</w:t>
      </w:r>
    </w:p>
    <w:p w14:paraId="1D4D6B47" w14:textId="77777777" w:rsidR="00F9265F" w:rsidRPr="00F9265F" w:rsidRDefault="00F9265F" w:rsidP="00F9265F"/>
    <w:p w14:paraId="4427EC30" w14:textId="11C9BCC3" w:rsidR="007824DF" w:rsidRDefault="00615C44" w:rsidP="00EA76EC">
      <w:pPr>
        <w:pStyle w:val="Title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AMENDMENT ONE</w:t>
      </w:r>
      <w:r w:rsidR="004249F2">
        <w:rPr>
          <w:rFonts w:ascii="Cambria" w:hAnsi="Cambria"/>
          <w:b/>
        </w:rPr>
        <w:t xml:space="preserve"> OF</w:t>
      </w:r>
    </w:p>
    <w:p w14:paraId="035B4C1A" w14:textId="77777777" w:rsidR="004249F2" w:rsidRPr="004249F2" w:rsidRDefault="004249F2" w:rsidP="004249F2"/>
    <w:p w14:paraId="2C19FC90" w14:textId="4AFFBCB4" w:rsidR="007824DF" w:rsidRDefault="007824DF" w:rsidP="00F9265F">
      <w:pPr>
        <w:pStyle w:val="Title"/>
        <w:ind w:left="-567" w:firstLine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JOINT AUSTRALIAN AND</w:t>
      </w:r>
      <w:r w:rsidR="00F9265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NEW ZEALAND FOREST</w:t>
      </w:r>
      <w:r w:rsidR="00F9265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MANAGEMENT STANDARD</w:t>
      </w:r>
      <w:r w:rsidR="00EA76EC">
        <w:rPr>
          <w:rFonts w:asciiTheme="minorHAnsi" w:hAnsiTheme="minorHAnsi"/>
          <w:b/>
        </w:rPr>
        <w:t xml:space="preserve"> AS/NZS 4708</w:t>
      </w:r>
      <w:r w:rsidR="004249F2">
        <w:rPr>
          <w:rFonts w:asciiTheme="minorHAnsi" w:hAnsiTheme="minorHAnsi"/>
          <w:b/>
        </w:rPr>
        <w:t>:2021</w:t>
      </w:r>
    </w:p>
    <w:p w14:paraId="7BFADEF3" w14:textId="77777777" w:rsidR="00EA76EC" w:rsidRPr="00EA76EC" w:rsidRDefault="00EA76EC" w:rsidP="00EA76EC"/>
    <w:p w14:paraId="62480AC9" w14:textId="77777777" w:rsidR="007824DF" w:rsidRDefault="007824DF" w:rsidP="007824DF"/>
    <w:p w14:paraId="00D29A43" w14:textId="77777777" w:rsidR="007824DF" w:rsidRDefault="007824DF" w:rsidP="007824DF"/>
    <w:p w14:paraId="2A74BCA1" w14:textId="77777777" w:rsidR="007824DF" w:rsidRDefault="007824DF" w:rsidP="007824DF"/>
    <w:p w14:paraId="5B75407C" w14:textId="77777777" w:rsidR="007824DF" w:rsidRDefault="007824DF" w:rsidP="007824DF"/>
    <w:p w14:paraId="3C37ABC7" w14:textId="77777777" w:rsidR="007824DF" w:rsidRDefault="007824DF" w:rsidP="007824DF"/>
    <w:p w14:paraId="3EC5C177" w14:textId="77777777" w:rsidR="007824DF" w:rsidRDefault="007824DF" w:rsidP="007824DF"/>
    <w:p w14:paraId="439BD9B5" w14:textId="77777777" w:rsidR="007824DF" w:rsidRDefault="007824DF" w:rsidP="007824DF"/>
    <w:p w14:paraId="4CFBC8AC" w14:textId="77777777" w:rsidR="007824DF" w:rsidRDefault="007824DF" w:rsidP="007824DF"/>
    <w:p w14:paraId="724E591B" w14:textId="77777777" w:rsidR="007824DF" w:rsidRDefault="007824DF" w:rsidP="007824DF"/>
    <w:p w14:paraId="42BD4CDB" w14:textId="77777777" w:rsidR="007824DF" w:rsidRDefault="007824DF" w:rsidP="007824DF"/>
    <w:p w14:paraId="733A44B3" w14:textId="77777777" w:rsidR="007824DF" w:rsidRDefault="007824DF" w:rsidP="007824DF"/>
    <w:p w14:paraId="1D6A6A62" w14:textId="77777777" w:rsidR="007824DF" w:rsidRDefault="007824DF" w:rsidP="007824DF"/>
    <w:p w14:paraId="1680060C" w14:textId="77777777" w:rsidR="007824DF" w:rsidRDefault="007824DF" w:rsidP="007824DF"/>
    <w:p w14:paraId="4874C909" w14:textId="77777777" w:rsidR="007824DF" w:rsidRDefault="007824DF" w:rsidP="007824DF"/>
    <w:p w14:paraId="1C4A2E36" w14:textId="77777777" w:rsidR="007824DF" w:rsidRDefault="007824DF" w:rsidP="007824DF"/>
    <w:p w14:paraId="64DB8A62" w14:textId="77777777" w:rsidR="007824DF" w:rsidRDefault="007824DF" w:rsidP="007824DF"/>
    <w:p w14:paraId="5FA9BE84" w14:textId="77777777" w:rsidR="00615C44" w:rsidRDefault="00615C44" w:rsidP="007824DF">
      <w:pPr>
        <w:rPr>
          <w:b/>
        </w:rPr>
      </w:pPr>
      <w:r>
        <w:rPr>
          <w:b/>
        </w:rPr>
        <w:t>February 2022</w:t>
      </w:r>
    </w:p>
    <w:p w14:paraId="00ED4097" w14:textId="77777777" w:rsidR="00615C44" w:rsidRDefault="00615C44" w:rsidP="007824DF">
      <w:pPr>
        <w:rPr>
          <w:b/>
        </w:rPr>
      </w:pPr>
    </w:p>
    <w:p w14:paraId="523C7F5B" w14:textId="0DFEBEE0" w:rsidR="00615C44" w:rsidRDefault="00615C44" w:rsidP="007824DF">
      <w:pPr>
        <w:rPr>
          <w:b/>
        </w:rPr>
        <w:sectPr w:rsidR="00615C44" w:rsidSect="00F9265F">
          <w:footerReference w:type="default" r:id="rId7"/>
          <w:pgSz w:w="11900" w:h="16840"/>
          <w:pgMar w:top="1560" w:right="843" w:bottom="737" w:left="1134" w:header="709" w:footer="709" w:gutter="0"/>
          <w:cols w:space="708"/>
          <w:docGrid w:linePitch="360"/>
        </w:sectPr>
      </w:pPr>
    </w:p>
    <w:p w14:paraId="6B105A36" w14:textId="77777777" w:rsidR="007824DF" w:rsidRPr="003B7280" w:rsidRDefault="003B7280" w:rsidP="003B7280">
      <w:pPr>
        <w:pStyle w:val="Heading2"/>
        <w:rPr>
          <w:rFonts w:asciiTheme="minorHAnsi" w:hAnsiTheme="minorHAnsi"/>
          <w:b/>
          <w:color w:val="auto"/>
          <w:u w:val="single"/>
        </w:rPr>
      </w:pPr>
      <w:r w:rsidRPr="003B7280">
        <w:rPr>
          <w:rFonts w:asciiTheme="minorHAnsi" w:hAnsiTheme="minorHAnsi"/>
          <w:b/>
          <w:color w:val="auto"/>
          <w:u w:val="single"/>
        </w:rPr>
        <w:lastRenderedPageBreak/>
        <w:t>Introduction</w:t>
      </w:r>
    </w:p>
    <w:p w14:paraId="6D61AD0B" w14:textId="77777777" w:rsidR="003B7280" w:rsidRDefault="003B7280" w:rsidP="003B7280"/>
    <w:p w14:paraId="573880B2" w14:textId="78BBEA79" w:rsidR="003B7280" w:rsidRDefault="003B7280" w:rsidP="00D6749B">
      <w:pPr>
        <w:jc w:val="both"/>
      </w:pPr>
      <w:r>
        <w:t>This report outlines the scoping proposal</w:t>
      </w:r>
      <w:r w:rsidR="00B53FE1">
        <w:t xml:space="preserve"> and risk assessment</w:t>
      </w:r>
      <w:r>
        <w:t xml:space="preserve"> for </w:t>
      </w:r>
      <w:r w:rsidR="007B4C16">
        <w:t xml:space="preserve">amendment one to </w:t>
      </w:r>
      <w:r>
        <w:t xml:space="preserve">Australian </w:t>
      </w:r>
      <w:r w:rsidR="007B4C16">
        <w:t xml:space="preserve">and New Zealand </w:t>
      </w:r>
      <w:r>
        <w:t>Standard</w:t>
      </w:r>
      <w:r w:rsidR="003F0D80">
        <w:t xml:space="preserve"> </w:t>
      </w:r>
      <w:r>
        <w:t>AS</w:t>
      </w:r>
      <w:r w:rsidR="004249F2">
        <w:t>/NZS</w:t>
      </w:r>
      <w:r>
        <w:t xml:space="preserve"> 4708</w:t>
      </w:r>
      <w:r w:rsidR="007B4C16">
        <w:t>-2021</w:t>
      </w:r>
      <w:r>
        <w:t xml:space="preserve"> Sustainable Forest Management.</w:t>
      </w:r>
    </w:p>
    <w:p w14:paraId="2DAE16B0" w14:textId="77777777" w:rsidR="003B7280" w:rsidRDefault="003B7280" w:rsidP="00D6749B">
      <w:pPr>
        <w:jc w:val="both"/>
      </w:pPr>
    </w:p>
    <w:p w14:paraId="18ED3D8C" w14:textId="37EEEC5C" w:rsidR="003B7280" w:rsidRDefault="00EF32AF" w:rsidP="00D6749B">
      <w:pPr>
        <w:jc w:val="both"/>
      </w:pPr>
      <w:r>
        <w:t xml:space="preserve">This </w:t>
      </w:r>
      <w:r w:rsidR="003B7280">
        <w:t xml:space="preserve">proposal outlines factors to be considered </w:t>
      </w:r>
      <w:r w:rsidR="00F9265F">
        <w:t>in</w:t>
      </w:r>
      <w:r w:rsidR="003B7280">
        <w:t xml:space="preserve"> the </w:t>
      </w:r>
      <w:r w:rsidR="007B4C16">
        <w:t xml:space="preserve">amendment </w:t>
      </w:r>
      <w:r w:rsidR="004249F2">
        <w:t>to</w:t>
      </w:r>
      <w:r w:rsidR="00BC19AF">
        <w:t xml:space="preserve"> AS</w:t>
      </w:r>
      <w:r w:rsidR="007B4C16">
        <w:t>/NZS</w:t>
      </w:r>
      <w:r w:rsidR="00BC19AF">
        <w:t xml:space="preserve"> 4708</w:t>
      </w:r>
      <w:r w:rsidR="007B4C16">
        <w:t>.</w:t>
      </w:r>
    </w:p>
    <w:p w14:paraId="2EDCCA43" w14:textId="77777777" w:rsidR="007B4C16" w:rsidRDefault="007B4C16" w:rsidP="00D6749B">
      <w:pPr>
        <w:jc w:val="both"/>
      </w:pPr>
    </w:p>
    <w:p w14:paraId="605ECFEA" w14:textId="63EE67F3" w:rsidR="00B53FE1" w:rsidRDefault="00B53FE1" w:rsidP="00D6749B">
      <w:pPr>
        <w:jc w:val="both"/>
      </w:pPr>
      <w:r>
        <w:t>In particular, risk</w:t>
      </w:r>
      <w:r w:rsidR="00F9265F">
        <w:t>s</w:t>
      </w:r>
      <w:r>
        <w:t xml:space="preserve"> associated with the </w:t>
      </w:r>
      <w:r w:rsidR="007B4C16">
        <w:t xml:space="preserve">Standard </w:t>
      </w:r>
      <w:r>
        <w:t xml:space="preserve">have been considered and assessed under Section </w:t>
      </w:r>
      <w:r w:rsidR="004249F2">
        <w:t>7</w:t>
      </w:r>
      <w:r>
        <w:t>.</w:t>
      </w:r>
    </w:p>
    <w:p w14:paraId="305B3CB8" w14:textId="77777777" w:rsidR="00B53FE1" w:rsidRDefault="00B53FE1" w:rsidP="00D6749B">
      <w:pPr>
        <w:jc w:val="both"/>
      </w:pPr>
    </w:p>
    <w:p w14:paraId="37352A39" w14:textId="77777777" w:rsidR="003B7280" w:rsidRDefault="003B7280" w:rsidP="00D6749B">
      <w:pPr>
        <w:jc w:val="both"/>
      </w:pPr>
      <w:r>
        <w:t>The proposal</w:t>
      </w:r>
      <w:r w:rsidR="00BC19AF">
        <w:t xml:space="preserve"> considers relevant factors and</w:t>
      </w:r>
      <w:r>
        <w:t xml:space="preserve"> is consistent with the Standards Australia Standardisation</w:t>
      </w:r>
      <w:r w:rsidR="00D6749B">
        <w:t xml:space="preserve"> Guidelines, </w:t>
      </w:r>
      <w:r w:rsidR="00BC19AF">
        <w:t>SDAC</w:t>
      </w:r>
      <w:r w:rsidR="00D6749B">
        <w:t xml:space="preserve"> Accreditation Rules and the PEFC Standard Setting Standard 2017.</w:t>
      </w:r>
    </w:p>
    <w:p w14:paraId="0DA19C36" w14:textId="77777777" w:rsidR="001F0218" w:rsidRDefault="001F0218" w:rsidP="00D6749B">
      <w:pPr>
        <w:jc w:val="both"/>
      </w:pPr>
    </w:p>
    <w:p w14:paraId="0BF26C62" w14:textId="77777777" w:rsidR="00D6749B" w:rsidRDefault="00D6749B" w:rsidP="007E4E1D">
      <w:pPr>
        <w:jc w:val="both"/>
      </w:pPr>
      <w:r>
        <w:t>The following factors have been considered.</w:t>
      </w:r>
    </w:p>
    <w:p w14:paraId="6E3497E2" w14:textId="77777777" w:rsidR="00D6749B" w:rsidRDefault="00D6749B" w:rsidP="007E4E1D">
      <w:pPr>
        <w:jc w:val="both"/>
      </w:pPr>
    </w:p>
    <w:p w14:paraId="72B3A05A" w14:textId="42B6D7DB" w:rsidR="00D6749B" w:rsidRDefault="00F9265F" w:rsidP="007E4E1D">
      <w:pPr>
        <w:pStyle w:val="ListParagraph"/>
        <w:numPr>
          <w:ilvl w:val="0"/>
          <w:numId w:val="1"/>
        </w:numPr>
        <w:jc w:val="both"/>
      </w:pPr>
      <w:r>
        <w:t>Do</w:t>
      </w:r>
      <w:r w:rsidR="00BC19AF">
        <w:t xml:space="preserve"> </w:t>
      </w:r>
      <w:r w:rsidR="00D6749B">
        <w:t>PEFC</w:t>
      </w:r>
      <w:r w:rsidR="00BC19AF">
        <w:t xml:space="preserve"> Standards Setting Requirements impact on the </w:t>
      </w:r>
      <w:r w:rsidR="007B4C16">
        <w:t>amendment</w:t>
      </w:r>
      <w:r>
        <w:t>?</w:t>
      </w:r>
    </w:p>
    <w:p w14:paraId="701B8238" w14:textId="77777777" w:rsidR="00D6749B" w:rsidRDefault="00D6749B" w:rsidP="007E4E1D">
      <w:pPr>
        <w:pStyle w:val="ListParagraph"/>
        <w:jc w:val="both"/>
      </w:pPr>
    </w:p>
    <w:p w14:paraId="6A5FA357" w14:textId="77777777" w:rsidR="00D6749B" w:rsidRDefault="00D6749B" w:rsidP="007E4E1D">
      <w:pPr>
        <w:pStyle w:val="ListParagraph"/>
        <w:numPr>
          <w:ilvl w:val="0"/>
          <w:numId w:val="1"/>
        </w:numPr>
        <w:jc w:val="both"/>
      </w:pPr>
      <w:r>
        <w:t>Alignment with the 2018 PEFC Meta-Standard.</w:t>
      </w:r>
    </w:p>
    <w:p w14:paraId="720A2A54" w14:textId="77777777" w:rsidR="00D6749B" w:rsidRDefault="00D6749B" w:rsidP="007E4E1D">
      <w:pPr>
        <w:pStyle w:val="ListParagraph"/>
        <w:jc w:val="both"/>
      </w:pPr>
    </w:p>
    <w:p w14:paraId="0B06BDAC" w14:textId="69DD0BE7" w:rsidR="00D6749B" w:rsidRDefault="007B4C16" w:rsidP="007E4E1D">
      <w:pPr>
        <w:pStyle w:val="ListParagraph"/>
        <w:numPr>
          <w:ilvl w:val="0"/>
          <w:numId w:val="1"/>
        </w:numPr>
        <w:jc w:val="both"/>
      </w:pPr>
      <w:r>
        <w:t xml:space="preserve">Any changes to the </w:t>
      </w:r>
      <w:r w:rsidR="00D6749B">
        <w:t>structure of a joint AS/NZS Committee, Chair, drafting leader and proportion of representatives from each Country.</w:t>
      </w:r>
    </w:p>
    <w:p w14:paraId="1CA72B5B" w14:textId="77777777" w:rsidR="00D6749B" w:rsidRDefault="00D6749B" w:rsidP="007E4E1D">
      <w:pPr>
        <w:pStyle w:val="ListParagraph"/>
        <w:jc w:val="both"/>
      </w:pPr>
    </w:p>
    <w:p w14:paraId="5436FA8E" w14:textId="363F1C9F" w:rsidR="00D6749B" w:rsidRDefault="007B4C16" w:rsidP="007E4E1D">
      <w:pPr>
        <w:pStyle w:val="ListParagraph"/>
        <w:numPr>
          <w:ilvl w:val="0"/>
          <w:numId w:val="1"/>
        </w:numPr>
        <w:jc w:val="both"/>
      </w:pPr>
      <w:r>
        <w:t>Any new p</w:t>
      </w:r>
      <w:r w:rsidR="00D6749B">
        <w:t>otential nominating organisations.</w:t>
      </w:r>
    </w:p>
    <w:p w14:paraId="5C36F1C6" w14:textId="77777777" w:rsidR="00D6749B" w:rsidRDefault="00D6749B" w:rsidP="007E4E1D">
      <w:pPr>
        <w:pStyle w:val="ListParagraph"/>
        <w:jc w:val="both"/>
      </w:pPr>
    </w:p>
    <w:p w14:paraId="42E6311D" w14:textId="549549B9" w:rsidR="00D6749B" w:rsidRDefault="007B4C16" w:rsidP="007E4E1D">
      <w:pPr>
        <w:pStyle w:val="ListParagraph"/>
        <w:numPr>
          <w:ilvl w:val="0"/>
          <w:numId w:val="1"/>
        </w:numPr>
        <w:jc w:val="both"/>
      </w:pPr>
      <w:r>
        <w:t>Impact on New Zealand.</w:t>
      </w:r>
    </w:p>
    <w:p w14:paraId="13F70CDD" w14:textId="77777777" w:rsidR="00D6749B" w:rsidRDefault="00D6749B" w:rsidP="007E4E1D">
      <w:pPr>
        <w:pStyle w:val="ListParagraph"/>
        <w:jc w:val="both"/>
      </w:pPr>
    </w:p>
    <w:p w14:paraId="17B7EC1E" w14:textId="77777777" w:rsidR="00D6749B" w:rsidRDefault="007E4E1D" w:rsidP="007E4E1D">
      <w:pPr>
        <w:pStyle w:val="ListParagraph"/>
        <w:numPr>
          <w:ilvl w:val="0"/>
          <w:numId w:val="3"/>
        </w:numPr>
        <w:ind w:left="709"/>
        <w:jc w:val="both"/>
      </w:pPr>
      <w:r>
        <w:t>Format and structure of meeting</w:t>
      </w:r>
      <w:r w:rsidR="00BC19AF">
        <w:t>s</w:t>
      </w:r>
      <w:r>
        <w:t xml:space="preserve"> and the ability to minimise costs using telecommunications.</w:t>
      </w:r>
    </w:p>
    <w:p w14:paraId="05E9F44C" w14:textId="77777777" w:rsidR="00D6749B" w:rsidRDefault="00D6749B" w:rsidP="007E4E1D">
      <w:pPr>
        <w:pStyle w:val="ListParagraph"/>
        <w:jc w:val="both"/>
      </w:pPr>
    </w:p>
    <w:p w14:paraId="7B4DC054" w14:textId="77777777" w:rsidR="007E4E1D" w:rsidRDefault="007E4E1D" w:rsidP="007E4E1D">
      <w:pPr>
        <w:pStyle w:val="ListParagraph"/>
        <w:numPr>
          <w:ilvl w:val="0"/>
          <w:numId w:val="1"/>
        </w:numPr>
        <w:jc w:val="both"/>
      </w:pPr>
      <w:r>
        <w:t>Timelines, milestones and completion dates.</w:t>
      </w:r>
    </w:p>
    <w:p w14:paraId="70D8439C" w14:textId="77777777" w:rsidR="007E4E1D" w:rsidRDefault="007E4E1D" w:rsidP="007E4E1D">
      <w:pPr>
        <w:jc w:val="both"/>
      </w:pPr>
    </w:p>
    <w:p w14:paraId="33A6A37F" w14:textId="77777777" w:rsidR="007E4E1D" w:rsidRDefault="007E4E1D" w:rsidP="007E4E1D">
      <w:pPr>
        <w:pStyle w:val="ListParagraph"/>
        <w:numPr>
          <w:ilvl w:val="0"/>
          <w:numId w:val="1"/>
        </w:numPr>
        <w:jc w:val="both"/>
      </w:pPr>
      <w:r>
        <w:t>Funding and funding contributions.</w:t>
      </w:r>
    </w:p>
    <w:p w14:paraId="1ADB014D" w14:textId="77777777" w:rsidR="001F0218" w:rsidRDefault="001F0218" w:rsidP="001F0218">
      <w:pPr>
        <w:pStyle w:val="ListParagraph"/>
      </w:pPr>
    </w:p>
    <w:p w14:paraId="5ECDA95C" w14:textId="77777777" w:rsidR="001F0218" w:rsidRDefault="001F0218" w:rsidP="007E4E1D">
      <w:pPr>
        <w:pStyle w:val="ListParagraph"/>
        <w:numPr>
          <w:ilvl w:val="0"/>
          <w:numId w:val="1"/>
        </w:numPr>
        <w:jc w:val="both"/>
      </w:pPr>
      <w:r>
        <w:t>Risk factors and Risk Assessment</w:t>
      </w:r>
      <w:r w:rsidR="00B53FE1">
        <w:t xml:space="preserve"> for the development of a joint Australia/New Zealand Standard.</w:t>
      </w:r>
    </w:p>
    <w:p w14:paraId="12E705B7" w14:textId="77777777" w:rsidR="007E4E1D" w:rsidRDefault="007E4E1D" w:rsidP="007E4E1D">
      <w:pPr>
        <w:pStyle w:val="ListParagraph"/>
        <w:jc w:val="both"/>
      </w:pPr>
    </w:p>
    <w:p w14:paraId="43D30869" w14:textId="77777777" w:rsidR="007E4E1D" w:rsidRDefault="007E4E1D" w:rsidP="007E4E1D">
      <w:pPr>
        <w:pStyle w:val="ListParagraph"/>
        <w:numPr>
          <w:ilvl w:val="0"/>
          <w:numId w:val="1"/>
        </w:numPr>
        <w:jc w:val="both"/>
      </w:pPr>
      <w:r>
        <w:t>Public comment process-Australia and New Zealand</w:t>
      </w:r>
    </w:p>
    <w:p w14:paraId="11F67033" w14:textId="77777777" w:rsidR="00C77C21" w:rsidRDefault="00C77C21" w:rsidP="00C77C21">
      <w:pPr>
        <w:pStyle w:val="ListParagraph"/>
      </w:pPr>
    </w:p>
    <w:p w14:paraId="5CF9C3A3" w14:textId="77777777" w:rsidR="007B4C16" w:rsidRDefault="007B4C16"/>
    <w:p w14:paraId="64CFB2C1" w14:textId="77777777" w:rsidR="007B4C16" w:rsidRDefault="007B4C16"/>
    <w:p w14:paraId="788030A7" w14:textId="77777777" w:rsidR="007B4C16" w:rsidRDefault="007B4C16"/>
    <w:p w14:paraId="5495184C" w14:textId="0F0972A7" w:rsidR="007B4C16" w:rsidRDefault="007B4C16">
      <w:pPr>
        <w:sectPr w:rsidR="007B4C16" w:rsidSect="00C77C21">
          <w:pgSz w:w="11900" w:h="16840"/>
          <w:pgMar w:top="1560" w:right="1127" w:bottom="737" w:left="1701" w:header="709" w:footer="709" w:gutter="0"/>
          <w:cols w:space="708"/>
          <w:docGrid w:linePitch="360"/>
        </w:sectPr>
      </w:pPr>
    </w:p>
    <w:p w14:paraId="0233751D" w14:textId="0B863E3F" w:rsidR="00EA76EC" w:rsidRPr="001F0218" w:rsidRDefault="007B4C16" w:rsidP="00FA30E7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lastRenderedPageBreak/>
        <w:t>How the PEFC Standards Setting Process Impacts on the Amendment</w:t>
      </w:r>
    </w:p>
    <w:p w14:paraId="0B208FA3" w14:textId="77777777" w:rsidR="00EA76EC" w:rsidRDefault="00EA76EC" w:rsidP="00EA76EC"/>
    <w:p w14:paraId="74ABDD3F" w14:textId="09488503" w:rsidR="00EA76EC" w:rsidRDefault="007B4C16" w:rsidP="003E03A2">
      <w:pPr>
        <w:jc w:val="both"/>
      </w:pPr>
      <w:r>
        <w:t>As the proposed amendment is to align th</w:t>
      </w:r>
      <w:r w:rsidR="004249F2">
        <w:t>e</w:t>
      </w:r>
      <w:r>
        <w:t xml:space="preserve"> conversion cut</w:t>
      </w:r>
      <w:r w:rsidR="000517B6">
        <w:t>-</w:t>
      </w:r>
      <w:r>
        <w:t xml:space="preserve">off date with the 2018 PEFC Sustainable Forest Management </w:t>
      </w:r>
      <w:r w:rsidR="004249F2">
        <w:t>(</w:t>
      </w:r>
      <w:r>
        <w:t>Meta-Standard</w:t>
      </w:r>
      <w:r w:rsidR="004249F2">
        <w:t>)</w:t>
      </w:r>
      <w:r>
        <w:t xml:space="preserve">, the proposed amendment is </w:t>
      </w:r>
      <w:r w:rsidR="004249F2">
        <w:t xml:space="preserve">completely </w:t>
      </w:r>
      <w:r>
        <w:t>consistent with PEFC requirements.</w:t>
      </w:r>
    </w:p>
    <w:p w14:paraId="1FA0252C" w14:textId="5DBEC4C7" w:rsidR="007B4C16" w:rsidRDefault="007B4C16" w:rsidP="003E03A2">
      <w:pPr>
        <w:jc w:val="both"/>
      </w:pPr>
    </w:p>
    <w:p w14:paraId="7A8FDE2E" w14:textId="7EC81296" w:rsidR="007B4C16" w:rsidRDefault="007B4C16" w:rsidP="003E03A2">
      <w:pPr>
        <w:jc w:val="both"/>
      </w:pPr>
      <w:r>
        <w:t>The structure of the existing AS/NZS 4708 Standards Reference</w:t>
      </w:r>
      <w:r w:rsidR="004249F2">
        <w:t xml:space="preserve"> Committee</w:t>
      </w:r>
      <w:r w:rsidR="00F9265F">
        <w:t xml:space="preserve"> (SRS)</w:t>
      </w:r>
      <w:r>
        <w:t xml:space="preserve"> </w:t>
      </w:r>
      <w:r w:rsidR="003E03A2">
        <w:t>is aligned with requirements provided in PEFC ST 1001:2017-Standards Setting in regard to the representation and participation of key stakeholders.</w:t>
      </w:r>
    </w:p>
    <w:p w14:paraId="0053AF28" w14:textId="1FB8D50B" w:rsidR="00D46BE2" w:rsidRDefault="00D46BE2" w:rsidP="00D46BE2">
      <w:pPr>
        <w:jc w:val="both"/>
      </w:pPr>
    </w:p>
    <w:p w14:paraId="10D1CBDC" w14:textId="77C7E69B" w:rsidR="003E03A2" w:rsidRDefault="004249F2" w:rsidP="00D46BE2">
      <w:pPr>
        <w:jc w:val="both"/>
      </w:pPr>
      <w:r>
        <w:t>The proposed amendment will not conflict with PEFC Standards setting requirements.</w:t>
      </w:r>
    </w:p>
    <w:p w14:paraId="0C7BD472" w14:textId="77777777" w:rsidR="003E03A2" w:rsidRDefault="003E03A2" w:rsidP="00D46BE2">
      <w:pPr>
        <w:jc w:val="both"/>
      </w:pPr>
    </w:p>
    <w:p w14:paraId="77B6FBBA" w14:textId="77777777" w:rsidR="00D46BE2" w:rsidRDefault="00D46BE2" w:rsidP="00FA30E7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 w:rsidRPr="00D46BE2">
        <w:rPr>
          <w:rFonts w:asciiTheme="minorHAnsi" w:hAnsiTheme="minorHAnsi"/>
          <w:b/>
          <w:color w:val="auto"/>
          <w:u w:val="single"/>
        </w:rPr>
        <w:t>Alignment with the 2018 PEFC Meta-Standard</w:t>
      </w:r>
    </w:p>
    <w:p w14:paraId="41E406E8" w14:textId="77777777" w:rsidR="00D46BE2" w:rsidRDefault="00D46BE2" w:rsidP="00D46BE2"/>
    <w:p w14:paraId="161BAFDF" w14:textId="6431B67F" w:rsidR="00696757" w:rsidRDefault="003E03A2" w:rsidP="00B53FE1">
      <w:pPr>
        <w:jc w:val="both"/>
      </w:pPr>
      <w:r>
        <w:t>The purpose of the proposed amendment is to better align AS/NZS 4708:2021 with the PEFC Meta-Standard for Sustainable Forest Management.  There is no risk that the amendment would be misaligned with PEFC SFM requirements</w:t>
      </w:r>
      <w:r w:rsidR="004249F2">
        <w:t xml:space="preserve"> or cause difficulties for endorsement.</w:t>
      </w:r>
    </w:p>
    <w:p w14:paraId="3F36CA84" w14:textId="77777777" w:rsidR="0042706E" w:rsidRDefault="0042706E" w:rsidP="0042706E">
      <w:pPr>
        <w:jc w:val="both"/>
      </w:pPr>
    </w:p>
    <w:p w14:paraId="3403EEE3" w14:textId="5D9ECF1D" w:rsidR="0042706E" w:rsidRDefault="0042706E" w:rsidP="00FA30E7">
      <w:pPr>
        <w:pStyle w:val="Heading3"/>
        <w:numPr>
          <w:ilvl w:val="0"/>
          <w:numId w:val="13"/>
        </w:numPr>
        <w:ind w:left="567" w:hanging="501"/>
        <w:rPr>
          <w:rFonts w:asciiTheme="minorHAnsi" w:hAnsiTheme="minorHAnsi"/>
          <w:b/>
          <w:color w:val="auto"/>
          <w:u w:val="single"/>
        </w:rPr>
      </w:pPr>
      <w:r w:rsidRPr="0042706E">
        <w:rPr>
          <w:rFonts w:asciiTheme="minorHAnsi" w:hAnsiTheme="minorHAnsi"/>
          <w:b/>
          <w:color w:val="auto"/>
          <w:u w:val="single"/>
        </w:rPr>
        <w:t>Structure of the Committee</w:t>
      </w:r>
      <w:r w:rsidR="003E03A2">
        <w:rPr>
          <w:rFonts w:asciiTheme="minorHAnsi" w:hAnsiTheme="minorHAnsi"/>
          <w:b/>
          <w:color w:val="auto"/>
          <w:u w:val="single"/>
        </w:rPr>
        <w:t xml:space="preserve"> (Chair, Drafting Leader and portion of representative for Australia)</w:t>
      </w:r>
    </w:p>
    <w:p w14:paraId="15F05881" w14:textId="6D7928B7" w:rsidR="0042706E" w:rsidRDefault="0042706E" w:rsidP="0042706E"/>
    <w:p w14:paraId="5C1BE2B3" w14:textId="7E60A763" w:rsidR="003E03A2" w:rsidRDefault="003E03A2" w:rsidP="003E03A2">
      <w:pPr>
        <w:jc w:val="both"/>
      </w:pPr>
      <w:r>
        <w:t xml:space="preserve">The structure of the exiting AS/NZS 4708 Standards Reference Committee is outlined in </w:t>
      </w:r>
      <w:r w:rsidRPr="003E03A2">
        <w:rPr>
          <w:b/>
          <w:bCs/>
        </w:rPr>
        <w:t>Table Two</w:t>
      </w:r>
      <w:r>
        <w:t>.</w:t>
      </w:r>
    </w:p>
    <w:p w14:paraId="6118FD7F" w14:textId="31972B09" w:rsidR="001F0218" w:rsidRDefault="001F0218" w:rsidP="001F0218">
      <w:pPr>
        <w:jc w:val="both"/>
      </w:pPr>
    </w:p>
    <w:p w14:paraId="26748963" w14:textId="12620676" w:rsidR="00FF51AF" w:rsidRDefault="009D4DDE" w:rsidP="00E04494">
      <w:pPr>
        <w:pStyle w:val="Heading3"/>
        <w:jc w:val="center"/>
        <w:rPr>
          <w:rFonts w:asciiTheme="minorHAnsi" w:hAnsiTheme="minorHAnsi"/>
          <w:b/>
          <w:color w:val="auto"/>
          <w:u w:val="single"/>
        </w:rPr>
      </w:pPr>
      <w:r w:rsidRPr="00E04494">
        <w:rPr>
          <w:rFonts w:asciiTheme="minorHAnsi" w:hAnsiTheme="minorHAnsi"/>
          <w:b/>
          <w:color w:val="auto"/>
          <w:u w:val="single"/>
        </w:rPr>
        <w:t xml:space="preserve">TABLE TWO: </w:t>
      </w:r>
      <w:r>
        <w:rPr>
          <w:rFonts w:asciiTheme="minorHAnsi" w:hAnsiTheme="minorHAnsi"/>
          <w:b/>
          <w:color w:val="auto"/>
          <w:u w:val="single"/>
        </w:rPr>
        <w:t>EXISTING</w:t>
      </w:r>
      <w:r w:rsidRPr="00E04494">
        <w:rPr>
          <w:rFonts w:asciiTheme="minorHAnsi" w:hAnsiTheme="minorHAnsi"/>
          <w:b/>
          <w:color w:val="auto"/>
          <w:u w:val="single"/>
        </w:rPr>
        <w:t xml:space="preserve"> COMMITTEE STRUCTURE</w:t>
      </w:r>
    </w:p>
    <w:p w14:paraId="5FC7612C" w14:textId="77777777" w:rsidR="00E04494" w:rsidRDefault="00E04494" w:rsidP="00E0449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3"/>
        <w:gridCol w:w="4649"/>
      </w:tblGrid>
      <w:tr w:rsidR="003E03A2" w14:paraId="1A500213" w14:textId="77777777" w:rsidTr="003E03A2">
        <w:tc>
          <w:tcPr>
            <w:tcW w:w="2435" w:type="pct"/>
          </w:tcPr>
          <w:p w14:paraId="7EE7B663" w14:textId="77777777" w:rsidR="003E03A2" w:rsidRPr="00E04494" w:rsidRDefault="003E03A2" w:rsidP="00E04494">
            <w:pPr>
              <w:rPr>
                <w:b/>
              </w:rPr>
            </w:pPr>
            <w:r w:rsidRPr="00E04494">
              <w:rPr>
                <w:b/>
              </w:rPr>
              <w:t>REPRESENTATION</w:t>
            </w:r>
            <w:r>
              <w:rPr>
                <w:b/>
              </w:rPr>
              <w:t xml:space="preserve"> REQUIRED BY PEFC ST 1001:2017</w:t>
            </w:r>
          </w:p>
        </w:tc>
        <w:tc>
          <w:tcPr>
            <w:tcW w:w="2565" w:type="pct"/>
          </w:tcPr>
          <w:p w14:paraId="16035E94" w14:textId="3BE31EA4" w:rsidR="003E03A2" w:rsidRPr="00E04494" w:rsidRDefault="003E03A2" w:rsidP="00BC19AF">
            <w:pPr>
              <w:rPr>
                <w:b/>
              </w:rPr>
            </w:pPr>
            <w:r>
              <w:rPr>
                <w:b/>
              </w:rPr>
              <w:t>REPRESENTATION</w:t>
            </w:r>
          </w:p>
        </w:tc>
      </w:tr>
      <w:tr w:rsidR="003E03A2" w14:paraId="5BFA1DEE" w14:textId="77777777" w:rsidTr="003E03A2">
        <w:tc>
          <w:tcPr>
            <w:tcW w:w="2435" w:type="pct"/>
          </w:tcPr>
          <w:p w14:paraId="0A6C501F" w14:textId="77777777" w:rsidR="003E03A2" w:rsidRDefault="003E03A2" w:rsidP="00E04494">
            <w:r>
              <w:t>Forest Owners/Managers</w:t>
            </w:r>
          </w:p>
        </w:tc>
        <w:tc>
          <w:tcPr>
            <w:tcW w:w="2565" w:type="pct"/>
          </w:tcPr>
          <w:p w14:paraId="5BEE31D2" w14:textId="49CB6C41" w:rsidR="003E03A2" w:rsidRDefault="00D72BE5" w:rsidP="00E04494">
            <w:r>
              <w:t>4</w:t>
            </w:r>
          </w:p>
        </w:tc>
      </w:tr>
      <w:tr w:rsidR="003E03A2" w14:paraId="7CA089BB" w14:textId="77777777" w:rsidTr="003E03A2">
        <w:tc>
          <w:tcPr>
            <w:tcW w:w="2435" w:type="pct"/>
          </w:tcPr>
          <w:p w14:paraId="255B08BB" w14:textId="77777777" w:rsidR="003E03A2" w:rsidRDefault="003E03A2" w:rsidP="00E04494">
            <w:r>
              <w:t>Business and Industry</w:t>
            </w:r>
          </w:p>
        </w:tc>
        <w:tc>
          <w:tcPr>
            <w:tcW w:w="2565" w:type="pct"/>
          </w:tcPr>
          <w:p w14:paraId="09CF9C01" w14:textId="1C04C5BE" w:rsidR="003E03A2" w:rsidRDefault="00D72BE5" w:rsidP="00E04494">
            <w:r>
              <w:t>6</w:t>
            </w:r>
          </w:p>
        </w:tc>
      </w:tr>
      <w:tr w:rsidR="003E03A2" w14:paraId="78D3A731" w14:textId="77777777" w:rsidTr="003E03A2">
        <w:tc>
          <w:tcPr>
            <w:tcW w:w="2435" w:type="pct"/>
          </w:tcPr>
          <w:p w14:paraId="35D0D40E" w14:textId="77777777" w:rsidR="003E03A2" w:rsidRDefault="003E03A2" w:rsidP="00E04494">
            <w:r>
              <w:t>Indigenous People</w:t>
            </w:r>
          </w:p>
        </w:tc>
        <w:tc>
          <w:tcPr>
            <w:tcW w:w="2565" w:type="pct"/>
          </w:tcPr>
          <w:p w14:paraId="3D9ADB16" w14:textId="7E22D27A" w:rsidR="003E03A2" w:rsidRDefault="00D72BE5" w:rsidP="00E04494">
            <w:r>
              <w:t>2</w:t>
            </w:r>
          </w:p>
        </w:tc>
      </w:tr>
      <w:tr w:rsidR="003E03A2" w14:paraId="39B38670" w14:textId="77777777" w:rsidTr="003E03A2">
        <w:tc>
          <w:tcPr>
            <w:tcW w:w="2435" w:type="pct"/>
          </w:tcPr>
          <w:p w14:paraId="6AC1F896" w14:textId="77777777" w:rsidR="003E03A2" w:rsidRDefault="003E03A2" w:rsidP="00E04494">
            <w:r>
              <w:t>Non-Government Organisations</w:t>
            </w:r>
          </w:p>
        </w:tc>
        <w:tc>
          <w:tcPr>
            <w:tcW w:w="2565" w:type="pct"/>
          </w:tcPr>
          <w:p w14:paraId="46E426DB" w14:textId="18F184F7" w:rsidR="003E03A2" w:rsidRDefault="00D72BE5" w:rsidP="00E04494">
            <w:r>
              <w:t>4</w:t>
            </w:r>
          </w:p>
        </w:tc>
      </w:tr>
      <w:tr w:rsidR="003E03A2" w14:paraId="62C4D72D" w14:textId="77777777" w:rsidTr="003E03A2">
        <w:tc>
          <w:tcPr>
            <w:tcW w:w="2435" w:type="pct"/>
          </w:tcPr>
          <w:p w14:paraId="3739393A" w14:textId="77777777" w:rsidR="003E03A2" w:rsidRDefault="003E03A2" w:rsidP="00E04494">
            <w:r>
              <w:t>Scientific &amp; Technical Community</w:t>
            </w:r>
          </w:p>
        </w:tc>
        <w:tc>
          <w:tcPr>
            <w:tcW w:w="2565" w:type="pct"/>
          </w:tcPr>
          <w:p w14:paraId="4276CDE0" w14:textId="0486A7EA" w:rsidR="003E03A2" w:rsidRDefault="00D72BE5" w:rsidP="00E04494">
            <w:r>
              <w:t>4</w:t>
            </w:r>
          </w:p>
        </w:tc>
      </w:tr>
      <w:tr w:rsidR="003E03A2" w14:paraId="43F25E65" w14:textId="77777777" w:rsidTr="003E03A2">
        <w:tc>
          <w:tcPr>
            <w:tcW w:w="2435" w:type="pct"/>
          </w:tcPr>
          <w:p w14:paraId="347FBA28" w14:textId="77777777" w:rsidR="003E03A2" w:rsidRDefault="003E03A2" w:rsidP="00E04494">
            <w:r>
              <w:t>Work &amp; Trade Unions</w:t>
            </w:r>
          </w:p>
        </w:tc>
        <w:tc>
          <w:tcPr>
            <w:tcW w:w="2565" w:type="pct"/>
          </w:tcPr>
          <w:p w14:paraId="05C72566" w14:textId="3CE4679E" w:rsidR="003E03A2" w:rsidRDefault="00D72BE5" w:rsidP="00E04494">
            <w:r>
              <w:t>2</w:t>
            </w:r>
          </w:p>
        </w:tc>
      </w:tr>
      <w:tr w:rsidR="003E03A2" w14:paraId="1D678232" w14:textId="77777777" w:rsidTr="003E03A2">
        <w:tc>
          <w:tcPr>
            <w:tcW w:w="2435" w:type="pct"/>
          </w:tcPr>
          <w:p w14:paraId="441C2634" w14:textId="77777777" w:rsidR="003E03A2" w:rsidRDefault="003E03A2" w:rsidP="00E04494">
            <w:r>
              <w:t>Local Authorities</w:t>
            </w:r>
          </w:p>
        </w:tc>
        <w:tc>
          <w:tcPr>
            <w:tcW w:w="2565" w:type="pct"/>
          </w:tcPr>
          <w:p w14:paraId="1C5C564D" w14:textId="2167E74D" w:rsidR="003E03A2" w:rsidRDefault="00D72BE5" w:rsidP="00E04494">
            <w:r>
              <w:t>2</w:t>
            </w:r>
          </w:p>
        </w:tc>
      </w:tr>
      <w:tr w:rsidR="003E03A2" w14:paraId="08E713F3" w14:textId="77777777" w:rsidTr="003E03A2">
        <w:tc>
          <w:tcPr>
            <w:tcW w:w="2435" w:type="pct"/>
          </w:tcPr>
          <w:p w14:paraId="26FA70D0" w14:textId="77777777" w:rsidR="003E03A2" w:rsidRPr="00E04494" w:rsidRDefault="003E03A2" w:rsidP="00E04494">
            <w:pPr>
              <w:rPr>
                <w:b/>
              </w:rPr>
            </w:pPr>
            <w:r w:rsidRPr="00E04494">
              <w:rPr>
                <w:b/>
              </w:rPr>
              <w:t>TOTAL</w:t>
            </w:r>
          </w:p>
        </w:tc>
        <w:tc>
          <w:tcPr>
            <w:tcW w:w="2565" w:type="pct"/>
          </w:tcPr>
          <w:p w14:paraId="0E41AF19" w14:textId="56A363BB" w:rsidR="003E03A2" w:rsidRPr="00E04494" w:rsidRDefault="00D72BE5" w:rsidP="005050B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14:paraId="23F4F7CB" w14:textId="77777777" w:rsidR="00E04494" w:rsidRDefault="00E04494" w:rsidP="00E04494"/>
    <w:p w14:paraId="07D2E82A" w14:textId="02BCE8E2" w:rsidR="00E04494" w:rsidRDefault="00E04494" w:rsidP="00E04494">
      <w:pPr>
        <w:jc w:val="both"/>
      </w:pPr>
      <w:r>
        <w:t>In addition to the Committee</w:t>
      </w:r>
      <w:r w:rsidR="00327920">
        <w:t xml:space="preserve"> members</w:t>
      </w:r>
      <w:r>
        <w:t xml:space="preserve">, there </w:t>
      </w:r>
      <w:r w:rsidR="004249F2">
        <w:t>are</w:t>
      </w:r>
      <w:r>
        <w:t xml:space="preserve"> 2 additional positions.</w:t>
      </w:r>
    </w:p>
    <w:p w14:paraId="41213653" w14:textId="77777777" w:rsidR="00A43BE1" w:rsidRDefault="00A43BE1" w:rsidP="00E04494">
      <w:pPr>
        <w:jc w:val="both"/>
      </w:pPr>
    </w:p>
    <w:p w14:paraId="322DE84B" w14:textId="54E91600" w:rsidR="00E04494" w:rsidRDefault="00E04494" w:rsidP="00E04494">
      <w:pPr>
        <w:pStyle w:val="ListParagraph"/>
        <w:numPr>
          <w:ilvl w:val="0"/>
          <w:numId w:val="7"/>
        </w:numPr>
        <w:jc w:val="both"/>
      </w:pPr>
      <w:r>
        <w:t xml:space="preserve">Chair – </w:t>
      </w:r>
      <w:r w:rsidR="00D72BE5">
        <w:t>Dr Gordon Duff</w:t>
      </w:r>
    </w:p>
    <w:p w14:paraId="26354C6E" w14:textId="77777777" w:rsidR="00CA2F75" w:rsidRDefault="00CA2F75" w:rsidP="00CA2F75">
      <w:pPr>
        <w:pStyle w:val="ListParagraph"/>
        <w:jc w:val="both"/>
      </w:pPr>
    </w:p>
    <w:p w14:paraId="65C1E0DD" w14:textId="27D254D5" w:rsidR="00E04494" w:rsidRDefault="00E04494" w:rsidP="00E04494">
      <w:pPr>
        <w:pStyle w:val="ListParagraph"/>
        <w:numPr>
          <w:ilvl w:val="0"/>
          <w:numId w:val="7"/>
        </w:numPr>
        <w:jc w:val="both"/>
      </w:pPr>
      <w:r>
        <w:t xml:space="preserve">Drafting Leader – </w:t>
      </w:r>
      <w:r w:rsidR="00D72BE5">
        <w:t>Simon Dorries</w:t>
      </w:r>
    </w:p>
    <w:p w14:paraId="771B0713" w14:textId="4670E4C1" w:rsidR="00327920" w:rsidRDefault="00327920" w:rsidP="00D72BE5">
      <w:pPr>
        <w:pStyle w:val="ListParagraph"/>
        <w:ind w:left="0"/>
        <w:jc w:val="both"/>
      </w:pPr>
    </w:p>
    <w:p w14:paraId="62EB562B" w14:textId="243ED9CE" w:rsidR="00327920" w:rsidRDefault="00D72BE5" w:rsidP="00E04494">
      <w:pPr>
        <w:pStyle w:val="ListParagraph"/>
        <w:ind w:left="0"/>
        <w:jc w:val="both"/>
      </w:pPr>
      <w:r>
        <w:t>The structure above complies with both PEFC and Standards Australia requirements for committee structure</w:t>
      </w:r>
      <w:r w:rsidR="004249F2">
        <w:t>s</w:t>
      </w:r>
      <w:r>
        <w:t>.</w:t>
      </w:r>
    </w:p>
    <w:p w14:paraId="468D0BB9" w14:textId="1A36740E" w:rsidR="00D72BE5" w:rsidRDefault="00D72BE5" w:rsidP="00E04494">
      <w:pPr>
        <w:pStyle w:val="ListParagraph"/>
        <w:ind w:left="0"/>
        <w:jc w:val="both"/>
      </w:pPr>
    </w:p>
    <w:p w14:paraId="3C68E647" w14:textId="2A38D0D9" w:rsidR="00D72BE5" w:rsidRDefault="004249F2" w:rsidP="00E04494">
      <w:pPr>
        <w:pStyle w:val="ListParagraph"/>
        <w:ind w:left="0"/>
        <w:jc w:val="both"/>
      </w:pPr>
      <w:r>
        <w:t>No changes are required.</w:t>
      </w:r>
    </w:p>
    <w:p w14:paraId="6BC9EFC4" w14:textId="77777777" w:rsidR="00D72BE5" w:rsidRDefault="00D72BE5" w:rsidP="0073034A">
      <w:pPr>
        <w:sectPr w:rsidR="00D72BE5" w:rsidSect="00C77C21">
          <w:pgSz w:w="11900" w:h="16840"/>
          <w:pgMar w:top="1560" w:right="1127" w:bottom="737" w:left="1701" w:header="709" w:footer="709" w:gutter="0"/>
          <w:cols w:space="708"/>
          <w:docGrid w:linePitch="360"/>
        </w:sectPr>
      </w:pPr>
    </w:p>
    <w:p w14:paraId="778524CC" w14:textId="75863AE4" w:rsidR="0073034A" w:rsidRDefault="0073034A" w:rsidP="00FA30E7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 w:rsidRPr="0073034A">
        <w:rPr>
          <w:rFonts w:asciiTheme="minorHAnsi" w:hAnsiTheme="minorHAnsi"/>
          <w:b/>
          <w:color w:val="auto"/>
          <w:u w:val="single"/>
        </w:rPr>
        <w:lastRenderedPageBreak/>
        <w:t>Nominating Organisations</w:t>
      </w:r>
    </w:p>
    <w:p w14:paraId="49E1A8DC" w14:textId="77777777" w:rsidR="0073034A" w:rsidRDefault="0073034A" w:rsidP="0073034A"/>
    <w:p w14:paraId="7117D869" w14:textId="0DCA12F0" w:rsidR="0073034A" w:rsidRDefault="004249F2" w:rsidP="00236492">
      <w:pPr>
        <w:jc w:val="both"/>
      </w:pPr>
      <w:r>
        <w:rPr>
          <w:b/>
          <w:bCs/>
        </w:rPr>
        <w:t>T</w:t>
      </w:r>
      <w:r w:rsidR="006E3ECC" w:rsidRPr="006E3ECC">
        <w:rPr>
          <w:b/>
          <w:bCs/>
        </w:rPr>
        <w:t>able Three</w:t>
      </w:r>
      <w:r w:rsidR="006E3ECC">
        <w:t xml:space="preserve"> </w:t>
      </w:r>
      <w:r>
        <w:t xml:space="preserve">below </w:t>
      </w:r>
      <w:r w:rsidR="003D0030">
        <w:t xml:space="preserve">is a list of </w:t>
      </w:r>
      <w:r w:rsidR="00D72BE5">
        <w:t xml:space="preserve">nominating </w:t>
      </w:r>
      <w:r>
        <w:t>organisations for</w:t>
      </w:r>
      <w:r w:rsidR="00D72BE5">
        <w:t xml:space="preserve"> </w:t>
      </w:r>
      <w:r w:rsidR="003D0030">
        <w:t>each Stakeholder Group</w:t>
      </w:r>
      <w:r w:rsidR="00D72BE5">
        <w:t xml:space="preserve"> participating on the AS/NZ 4708 Standards Reference Committee</w:t>
      </w:r>
      <w:r w:rsidR="003D0030">
        <w:t>.</w:t>
      </w:r>
    </w:p>
    <w:p w14:paraId="3AD621D7" w14:textId="304E504F" w:rsidR="003D0030" w:rsidRDefault="003D0030" w:rsidP="0073034A"/>
    <w:p w14:paraId="476BC2AC" w14:textId="0BC8D6AD" w:rsidR="00E602AC" w:rsidRPr="00E602AC" w:rsidRDefault="009D4DDE" w:rsidP="00E602A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TABLE THREE-NOMINATING ORGANISATIONS</w:t>
      </w:r>
    </w:p>
    <w:p w14:paraId="2EA24E14" w14:textId="239A32B4" w:rsidR="00E602AC" w:rsidRDefault="00E602AC" w:rsidP="007303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4DDE" w:rsidRPr="009D4DDE" w14:paraId="4D01AC84" w14:textId="77777777" w:rsidTr="009D4DDE">
        <w:trPr>
          <w:trHeight w:val="294"/>
        </w:trPr>
        <w:tc>
          <w:tcPr>
            <w:tcW w:w="1893" w:type="pct"/>
            <w:shd w:val="clear" w:color="auto" w:fill="auto"/>
          </w:tcPr>
          <w:p w14:paraId="6EA55363" w14:textId="77777777" w:rsidR="009D4DDE" w:rsidRPr="00E602AC" w:rsidRDefault="009D4DDE" w:rsidP="00E602AC">
            <w:pPr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NOMINATING ORGANISATION</w:t>
            </w:r>
          </w:p>
          <w:p w14:paraId="577CF393" w14:textId="77777777" w:rsidR="009D4DDE" w:rsidRPr="00E602AC" w:rsidRDefault="009D4DDE" w:rsidP="00E602AC">
            <w:pPr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3107" w:type="pct"/>
            <w:shd w:val="clear" w:color="auto" w:fill="auto"/>
          </w:tcPr>
          <w:p w14:paraId="2E5E9978" w14:textId="77777777" w:rsidR="009D4DDE" w:rsidRPr="00E602AC" w:rsidRDefault="009D4DDE" w:rsidP="009D4DDE">
            <w:pPr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 xml:space="preserve">STAKEHOLDER GROUP </w:t>
            </w:r>
          </w:p>
          <w:p w14:paraId="6F993CEB" w14:textId="6CFF2EF4" w:rsidR="009D4DDE" w:rsidRPr="00E602AC" w:rsidRDefault="009D4DDE" w:rsidP="009D4DDE">
            <w:pPr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(PEFC ST 1001:2017</w:t>
            </w:r>
            <w:r w:rsidRPr="009D4DDE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)</w:t>
            </w:r>
          </w:p>
        </w:tc>
      </w:tr>
      <w:tr w:rsidR="009D4DDE" w:rsidRPr="009D4DDE" w14:paraId="4F9E9115" w14:textId="77777777" w:rsidTr="009D4DDE">
        <w:trPr>
          <w:trHeight w:val="144"/>
        </w:trPr>
        <w:tc>
          <w:tcPr>
            <w:tcW w:w="1893" w:type="pct"/>
            <w:shd w:val="clear" w:color="auto" w:fill="auto"/>
          </w:tcPr>
          <w:p w14:paraId="544420F0" w14:textId="32EB9770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9D4DDE">
              <w:rPr>
                <w:rFonts w:eastAsia="Times New Roman" w:cs="Times New Roman"/>
                <w:color w:val="000000"/>
                <w:lang w:eastAsia="en-AU"/>
              </w:rPr>
              <w:t>Chair</w:t>
            </w:r>
          </w:p>
        </w:tc>
        <w:tc>
          <w:tcPr>
            <w:tcW w:w="3107" w:type="pct"/>
            <w:shd w:val="clear" w:color="auto" w:fill="auto"/>
          </w:tcPr>
          <w:p w14:paraId="54B080FC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Dr Gordon Duff</w:t>
            </w:r>
          </w:p>
        </w:tc>
      </w:tr>
      <w:tr w:rsidR="009D4DDE" w:rsidRPr="009D4DDE" w14:paraId="01CAA2D5" w14:textId="77777777" w:rsidTr="009D4DDE">
        <w:trPr>
          <w:trHeight w:val="144"/>
        </w:trPr>
        <w:tc>
          <w:tcPr>
            <w:tcW w:w="1893" w:type="pct"/>
            <w:shd w:val="clear" w:color="auto" w:fill="auto"/>
          </w:tcPr>
          <w:p w14:paraId="1130A3E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AFPA</w:t>
            </w:r>
          </w:p>
        </w:tc>
        <w:tc>
          <w:tcPr>
            <w:tcW w:w="3107" w:type="pct"/>
            <w:shd w:val="clear" w:color="auto" w:fill="auto"/>
          </w:tcPr>
          <w:p w14:paraId="120D9803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529ED276" w14:textId="77777777" w:rsidTr="009D4DDE">
        <w:trPr>
          <w:trHeight w:val="312"/>
        </w:trPr>
        <w:tc>
          <w:tcPr>
            <w:tcW w:w="1893" w:type="pct"/>
            <w:shd w:val="clear" w:color="auto" w:fill="auto"/>
            <w:hideMark/>
          </w:tcPr>
          <w:p w14:paraId="55D57C9A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AFPA</w:t>
            </w:r>
          </w:p>
        </w:tc>
        <w:tc>
          <w:tcPr>
            <w:tcW w:w="3107" w:type="pct"/>
            <w:shd w:val="clear" w:color="auto" w:fill="auto"/>
            <w:hideMark/>
          </w:tcPr>
          <w:p w14:paraId="7A19F4C3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4E325D8A" w14:textId="77777777" w:rsidTr="009D4DDE">
        <w:trPr>
          <w:trHeight w:val="312"/>
        </w:trPr>
        <w:tc>
          <w:tcPr>
            <w:tcW w:w="1893" w:type="pct"/>
            <w:shd w:val="clear" w:color="auto" w:fill="auto"/>
            <w:hideMark/>
          </w:tcPr>
          <w:p w14:paraId="31FCE31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AFG</w:t>
            </w:r>
          </w:p>
        </w:tc>
        <w:tc>
          <w:tcPr>
            <w:tcW w:w="3107" w:type="pct"/>
            <w:shd w:val="clear" w:color="auto" w:fill="auto"/>
            <w:hideMark/>
          </w:tcPr>
          <w:p w14:paraId="4DA1BF1A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Forest Grower</w:t>
            </w:r>
          </w:p>
        </w:tc>
      </w:tr>
      <w:tr w:rsidR="009D4DDE" w:rsidRPr="009D4DDE" w14:paraId="069F1F4A" w14:textId="77777777" w:rsidTr="009D4DDE">
        <w:trPr>
          <w:trHeight w:val="312"/>
        </w:trPr>
        <w:tc>
          <w:tcPr>
            <w:tcW w:w="1893" w:type="pct"/>
            <w:shd w:val="clear" w:color="auto" w:fill="auto"/>
            <w:hideMark/>
          </w:tcPr>
          <w:p w14:paraId="7D3B6546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AACB</w:t>
            </w:r>
          </w:p>
        </w:tc>
        <w:tc>
          <w:tcPr>
            <w:tcW w:w="3107" w:type="pct"/>
            <w:shd w:val="clear" w:color="auto" w:fill="auto"/>
            <w:hideMark/>
          </w:tcPr>
          <w:p w14:paraId="6AA92F14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0948F9E7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217FFFE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IFA</w:t>
            </w:r>
          </w:p>
        </w:tc>
        <w:tc>
          <w:tcPr>
            <w:tcW w:w="3107" w:type="pct"/>
            <w:shd w:val="clear" w:color="auto" w:fill="auto"/>
            <w:hideMark/>
          </w:tcPr>
          <w:p w14:paraId="4687EB5F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Scientific and Technology Community</w:t>
            </w:r>
          </w:p>
        </w:tc>
      </w:tr>
      <w:tr w:rsidR="009D4DDE" w:rsidRPr="009D4DDE" w14:paraId="408B13DF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4FA7CC63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South East Timber Association </w:t>
            </w:r>
          </w:p>
        </w:tc>
        <w:tc>
          <w:tcPr>
            <w:tcW w:w="3107" w:type="pct"/>
            <w:shd w:val="clear" w:color="auto" w:fill="auto"/>
            <w:hideMark/>
          </w:tcPr>
          <w:p w14:paraId="7358D804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Non-Govt Organisation</w:t>
            </w:r>
          </w:p>
        </w:tc>
      </w:tr>
      <w:tr w:rsidR="009D4DDE" w:rsidRPr="009D4DDE" w14:paraId="03F37FEA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3286178C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The University of Melbourne </w:t>
            </w:r>
          </w:p>
        </w:tc>
        <w:tc>
          <w:tcPr>
            <w:tcW w:w="3107" w:type="pct"/>
            <w:shd w:val="clear" w:color="auto" w:fill="auto"/>
            <w:hideMark/>
          </w:tcPr>
          <w:p w14:paraId="5D421EEA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Scientific and Technology Community</w:t>
            </w:r>
          </w:p>
        </w:tc>
      </w:tr>
      <w:tr w:rsidR="009D4DDE" w:rsidRPr="009D4DDE" w14:paraId="47E1FE21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2F7ED4A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CSIRO</w:t>
            </w:r>
          </w:p>
        </w:tc>
        <w:tc>
          <w:tcPr>
            <w:tcW w:w="3107" w:type="pct"/>
            <w:shd w:val="clear" w:color="auto" w:fill="auto"/>
            <w:hideMark/>
          </w:tcPr>
          <w:p w14:paraId="2FB1D22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Scientific and Technology Community</w:t>
            </w:r>
          </w:p>
        </w:tc>
      </w:tr>
      <w:tr w:rsidR="009D4DDE" w:rsidRPr="009D4DDE" w14:paraId="6A69E2E0" w14:textId="77777777" w:rsidTr="009D4DDE">
        <w:trPr>
          <w:trHeight w:val="312"/>
        </w:trPr>
        <w:tc>
          <w:tcPr>
            <w:tcW w:w="1893" w:type="pct"/>
            <w:shd w:val="clear" w:color="auto" w:fill="auto"/>
            <w:hideMark/>
          </w:tcPr>
          <w:p w14:paraId="43DF055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University of the Sunshine Coast</w:t>
            </w:r>
          </w:p>
        </w:tc>
        <w:tc>
          <w:tcPr>
            <w:tcW w:w="3107" w:type="pct"/>
            <w:shd w:val="clear" w:color="auto" w:fill="auto"/>
            <w:hideMark/>
          </w:tcPr>
          <w:p w14:paraId="5DDBB949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Scientific and Technology Community</w:t>
            </w:r>
          </w:p>
        </w:tc>
      </w:tr>
      <w:tr w:rsidR="009D4DDE" w:rsidRPr="009D4DDE" w14:paraId="28862183" w14:textId="77777777" w:rsidTr="009D4DDE">
        <w:trPr>
          <w:trHeight w:val="312"/>
        </w:trPr>
        <w:tc>
          <w:tcPr>
            <w:tcW w:w="1893" w:type="pct"/>
            <w:shd w:val="clear" w:color="auto" w:fill="auto"/>
          </w:tcPr>
          <w:p w14:paraId="7B31AA26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The University of Tasmania</w:t>
            </w:r>
          </w:p>
        </w:tc>
        <w:tc>
          <w:tcPr>
            <w:tcW w:w="3107" w:type="pct"/>
            <w:shd w:val="clear" w:color="auto" w:fill="auto"/>
          </w:tcPr>
          <w:p w14:paraId="3B5980E5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Scientific and Technology Community </w:t>
            </w:r>
          </w:p>
        </w:tc>
      </w:tr>
      <w:tr w:rsidR="009D4DDE" w:rsidRPr="009D4DDE" w14:paraId="03CAFA53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3CC05C8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CFMEU</w:t>
            </w:r>
          </w:p>
        </w:tc>
        <w:tc>
          <w:tcPr>
            <w:tcW w:w="3107" w:type="pct"/>
            <w:shd w:val="clear" w:color="auto" w:fill="auto"/>
            <w:hideMark/>
          </w:tcPr>
          <w:p w14:paraId="3AAB95B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Workers and Trade Unions</w:t>
            </w:r>
          </w:p>
        </w:tc>
      </w:tr>
      <w:tr w:rsidR="009D4DDE" w:rsidRPr="009D4DDE" w14:paraId="7D1CB908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1CF1ED3D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National Timber Council Association</w:t>
            </w:r>
          </w:p>
        </w:tc>
        <w:tc>
          <w:tcPr>
            <w:tcW w:w="3107" w:type="pct"/>
            <w:shd w:val="clear" w:color="auto" w:fill="auto"/>
            <w:hideMark/>
          </w:tcPr>
          <w:p w14:paraId="082701A6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Local Authorities</w:t>
            </w:r>
          </w:p>
        </w:tc>
      </w:tr>
      <w:tr w:rsidR="009D4DDE" w:rsidRPr="009D4DDE" w14:paraId="1580C51F" w14:textId="77777777" w:rsidTr="009D4DDE">
        <w:trPr>
          <w:trHeight w:val="624"/>
        </w:trPr>
        <w:tc>
          <w:tcPr>
            <w:tcW w:w="1893" w:type="pct"/>
            <w:shd w:val="clear" w:color="auto" w:fill="auto"/>
            <w:hideMark/>
          </w:tcPr>
          <w:p w14:paraId="51F364D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National Retailers Association </w:t>
            </w:r>
          </w:p>
        </w:tc>
        <w:tc>
          <w:tcPr>
            <w:tcW w:w="3107" w:type="pct"/>
            <w:shd w:val="clear" w:color="auto" w:fill="auto"/>
            <w:hideMark/>
          </w:tcPr>
          <w:p w14:paraId="016F519D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08AD7A68" w14:textId="77777777" w:rsidTr="009D4DDE">
        <w:trPr>
          <w:trHeight w:val="468"/>
        </w:trPr>
        <w:tc>
          <w:tcPr>
            <w:tcW w:w="189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816E908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Indigenous people representative </w:t>
            </w:r>
          </w:p>
        </w:tc>
        <w:tc>
          <w:tcPr>
            <w:tcW w:w="3107" w:type="pct"/>
            <w:shd w:val="clear" w:color="auto" w:fill="auto"/>
            <w:hideMark/>
          </w:tcPr>
          <w:p w14:paraId="71F67A8F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9D4DDE" w:rsidRPr="009D4DDE" w14:paraId="33AE44D4" w14:textId="77777777" w:rsidTr="009D4DDE">
        <w:trPr>
          <w:trHeight w:val="468"/>
        </w:trPr>
        <w:tc>
          <w:tcPr>
            <w:tcW w:w="1893" w:type="pct"/>
            <w:tcBorders>
              <w:bottom w:val="single" w:sz="4" w:space="0" w:color="auto"/>
            </w:tcBorders>
            <w:shd w:val="clear" w:color="auto" w:fill="auto"/>
          </w:tcPr>
          <w:p w14:paraId="023D9EEF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Environmental Farmers Network</w:t>
            </w:r>
          </w:p>
        </w:tc>
        <w:tc>
          <w:tcPr>
            <w:tcW w:w="3107" w:type="pct"/>
            <w:tcBorders>
              <w:bottom w:val="single" w:sz="4" w:space="0" w:color="auto"/>
            </w:tcBorders>
            <w:shd w:val="clear" w:color="auto" w:fill="auto"/>
          </w:tcPr>
          <w:p w14:paraId="1106DE51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Non-Govt Organisation</w:t>
            </w:r>
          </w:p>
        </w:tc>
      </w:tr>
      <w:tr w:rsidR="009D4DDE" w:rsidRPr="009D4DDE" w14:paraId="0FC9A756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4EF5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NZFCA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F3F5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48E86E5E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514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WPMA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E69E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6B02D981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FAAC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WPMA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48E3" w14:textId="77777777" w:rsidR="009D4DDE" w:rsidRPr="00E602AC" w:rsidRDefault="009D4DDE" w:rsidP="00E602AC">
            <w:pPr>
              <w:rPr>
                <w:rFonts w:eastAsia="Times New Roman" w:cs="Times New Roman"/>
                <w:lang w:eastAsia="en-AU"/>
              </w:rPr>
            </w:pPr>
            <w:r w:rsidRPr="00E602AC">
              <w:rPr>
                <w:rFonts w:eastAsia="Times New Roman" w:cs="Times New Roman"/>
                <w:lang w:eastAsia="en-AU"/>
              </w:rPr>
              <w:t xml:space="preserve">Business and Industry </w:t>
            </w:r>
          </w:p>
        </w:tc>
      </w:tr>
      <w:tr w:rsidR="009D4DDE" w:rsidRPr="009D4DDE" w14:paraId="76DEF6D3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0F17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NZ Forest Owners Association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CE7B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Forest Grower</w:t>
            </w:r>
          </w:p>
        </w:tc>
      </w:tr>
      <w:tr w:rsidR="009D4DDE" w:rsidRPr="009D4DDE" w14:paraId="614373A3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0F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NZ Farm Forest Association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23CC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Forest Grower</w:t>
            </w:r>
          </w:p>
        </w:tc>
      </w:tr>
      <w:tr w:rsidR="009D4DDE" w:rsidRPr="009D4DDE" w14:paraId="232DF98C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16D1" w14:textId="16655A26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NZ Forest Industries </w:t>
            </w:r>
            <w:r w:rsidRPr="009D4DDE">
              <w:rPr>
                <w:rFonts w:eastAsia="Times New Roman" w:cs="Times New Roman"/>
                <w:color w:val="000000"/>
                <w:lang w:eastAsia="en-AU"/>
              </w:rPr>
              <w:t>Contractors Association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51A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0690C8D6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221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lastRenderedPageBreak/>
              <w:t>SCION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8E1D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Scientific and Technology Community</w:t>
            </w:r>
          </w:p>
        </w:tc>
      </w:tr>
      <w:tr w:rsidR="009D4DDE" w:rsidRPr="009D4DDE" w14:paraId="687A01A3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74A2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NZ Institute of Forestry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6236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Non-Govt Organisation</w:t>
            </w:r>
          </w:p>
        </w:tc>
      </w:tr>
      <w:tr w:rsidR="009D4DDE" w:rsidRPr="009D4DDE" w14:paraId="1ABC8D4C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B4D7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NZ Timber Industry federation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61CA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Business and Industry</w:t>
            </w:r>
          </w:p>
        </w:tc>
      </w:tr>
      <w:tr w:rsidR="009D4DDE" w:rsidRPr="009D4DDE" w14:paraId="06364368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52C8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NZ First Union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A902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Workers and Trade Unions</w:t>
            </w:r>
          </w:p>
        </w:tc>
      </w:tr>
      <w:tr w:rsidR="009D4DDE" w:rsidRPr="009D4DDE" w14:paraId="146E91AF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B3D0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Federation of </w:t>
            </w:r>
            <w:proofErr w:type="spellStart"/>
            <w:r w:rsidRPr="00E602AC">
              <w:rPr>
                <w:rFonts w:eastAsia="Times New Roman" w:cs="Times New Roman"/>
                <w:color w:val="000000"/>
                <w:lang w:eastAsia="en-AU"/>
              </w:rPr>
              <w:t>Maori</w:t>
            </w:r>
            <w:proofErr w:type="spellEnd"/>
            <w:r w:rsidRPr="00E602AC">
              <w:rPr>
                <w:rFonts w:eastAsia="Times New Roman" w:cs="Times New Roman"/>
                <w:color w:val="000000"/>
                <w:lang w:eastAsia="en-AU"/>
              </w:rPr>
              <w:t xml:space="preserve"> Authorities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13E6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Indigenous</w:t>
            </w:r>
          </w:p>
        </w:tc>
      </w:tr>
      <w:tr w:rsidR="009D4DDE" w:rsidRPr="009D4DDE" w14:paraId="4BE740A8" w14:textId="77777777" w:rsidTr="009D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AFC7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NZ Ministry of Primary Industries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0E4" w14:textId="77777777" w:rsidR="009D4DDE" w:rsidRPr="00E602AC" w:rsidRDefault="009D4DDE" w:rsidP="00E602AC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E602AC">
              <w:rPr>
                <w:rFonts w:eastAsia="Times New Roman" w:cs="Times New Roman"/>
                <w:color w:val="000000"/>
                <w:lang w:eastAsia="en-AU"/>
              </w:rPr>
              <w:t>Local Authorities</w:t>
            </w:r>
          </w:p>
        </w:tc>
      </w:tr>
    </w:tbl>
    <w:p w14:paraId="6D97EA45" w14:textId="1C45466C" w:rsidR="00E602AC" w:rsidRDefault="00E602AC" w:rsidP="0073034A"/>
    <w:p w14:paraId="28AB70C8" w14:textId="2315A70D" w:rsidR="004249F2" w:rsidRDefault="004249F2" w:rsidP="0073034A">
      <w:r>
        <w:t>All required Stakeholder groups are represented</w:t>
      </w:r>
      <w:r w:rsidR="00F9265F">
        <w:t xml:space="preserve"> and no changes are required.</w:t>
      </w:r>
      <w:r>
        <w:t>.</w:t>
      </w:r>
    </w:p>
    <w:p w14:paraId="627052F9" w14:textId="77777777" w:rsidR="004249F2" w:rsidRDefault="004249F2" w:rsidP="0073034A"/>
    <w:p w14:paraId="1D5B0FB0" w14:textId="46E8F7E3" w:rsidR="00236492" w:rsidRDefault="004249F2" w:rsidP="00FA30E7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Impact on New Zealand</w:t>
      </w:r>
    </w:p>
    <w:p w14:paraId="4975885C" w14:textId="494011A9" w:rsidR="00236492" w:rsidRDefault="00236492" w:rsidP="00236492"/>
    <w:p w14:paraId="39F26087" w14:textId="385C92AD" w:rsidR="009D4DDE" w:rsidRDefault="00152C87" w:rsidP="00152C87">
      <w:pPr>
        <w:jc w:val="both"/>
      </w:pPr>
      <w:r>
        <w:t>New Zealand</w:t>
      </w:r>
      <w:r w:rsidR="004249F2">
        <w:t xml:space="preserve"> committee members have</w:t>
      </w:r>
      <w:r>
        <w:t xml:space="preserve"> confirmed that forest conversion ceased well before 2007 and adoption of the proposed amendment </w:t>
      </w:r>
      <w:r w:rsidR="00F9265F">
        <w:t xml:space="preserve">will </w:t>
      </w:r>
      <w:r>
        <w:t>have no impact on New Zealand forest growers.</w:t>
      </w:r>
    </w:p>
    <w:p w14:paraId="1ECE86B8" w14:textId="7412F823" w:rsidR="00152C87" w:rsidRDefault="00152C87" w:rsidP="00152C87">
      <w:pPr>
        <w:jc w:val="both"/>
      </w:pPr>
    </w:p>
    <w:p w14:paraId="16C658DE" w14:textId="52DE2538" w:rsidR="00152C87" w:rsidRDefault="004249F2" w:rsidP="00152C87">
      <w:pPr>
        <w:jc w:val="both"/>
      </w:pPr>
      <w:r>
        <w:t>A</w:t>
      </w:r>
      <w:r w:rsidR="00152C87">
        <w:t xml:space="preserve">FPA </w:t>
      </w:r>
      <w:r>
        <w:t xml:space="preserve">contacted </w:t>
      </w:r>
      <w:r w:rsidR="00F9265F">
        <w:t xml:space="preserve">a number of </w:t>
      </w:r>
      <w:r>
        <w:t>New Zealand Stakeholders when developing</w:t>
      </w:r>
      <w:r w:rsidR="00152C87">
        <w:t xml:space="preserve"> the project proposal</w:t>
      </w:r>
      <w:r w:rsidR="008B5C59">
        <w:t xml:space="preserve">.  </w:t>
      </w:r>
      <w:r w:rsidR="00152C87">
        <w:t xml:space="preserve">Stakeholders </w:t>
      </w:r>
      <w:r w:rsidR="008B5C59">
        <w:t xml:space="preserve">responding </w:t>
      </w:r>
      <w:r w:rsidR="00152C87">
        <w:t>did not oppose the amendment.</w:t>
      </w:r>
    </w:p>
    <w:p w14:paraId="6F9A70CC" w14:textId="77777777" w:rsidR="009D4DDE" w:rsidRDefault="009D4DDE" w:rsidP="00236492"/>
    <w:p w14:paraId="3FCED5DE" w14:textId="77777777" w:rsidR="009D4DDE" w:rsidRDefault="009D4DDE" w:rsidP="009D4DDE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Format and Structure of Meetings and the ability to minimise costs using Telecommunications</w:t>
      </w:r>
    </w:p>
    <w:p w14:paraId="3BEC0EC9" w14:textId="18CF2DCE" w:rsidR="00876F7D" w:rsidRDefault="00876F7D" w:rsidP="00876F7D"/>
    <w:p w14:paraId="5F1CEF6E" w14:textId="6FF89B13" w:rsidR="00152C87" w:rsidRDefault="00152C87" w:rsidP="00945464">
      <w:pPr>
        <w:jc w:val="both"/>
      </w:pPr>
      <w:r>
        <w:t>It is anticipated that two meetings will be required to process the amendment.</w:t>
      </w:r>
    </w:p>
    <w:p w14:paraId="2F622B41" w14:textId="6422201F" w:rsidR="00152C87" w:rsidRDefault="00152C87" w:rsidP="00945464">
      <w:pPr>
        <w:jc w:val="both"/>
      </w:pPr>
    </w:p>
    <w:p w14:paraId="0C37385B" w14:textId="2E21FFA9" w:rsidR="00152C87" w:rsidRDefault="00152C87" w:rsidP="00945464">
      <w:pPr>
        <w:jc w:val="both"/>
      </w:pPr>
      <w:r>
        <w:t xml:space="preserve">Meeting </w:t>
      </w:r>
      <w:r w:rsidR="007F622D">
        <w:t>O</w:t>
      </w:r>
      <w:r>
        <w:t>ne</w:t>
      </w:r>
      <w:r w:rsidR="007F622D">
        <w:t xml:space="preserve"> will include the kick off meeting, review and agreement o</w:t>
      </w:r>
      <w:r w:rsidR="008B5C59">
        <w:t>f</w:t>
      </w:r>
      <w:r w:rsidR="007F622D">
        <w:t xml:space="preserve"> the revised text and an agreement to take the draft to public comment.</w:t>
      </w:r>
    </w:p>
    <w:p w14:paraId="2F141EAD" w14:textId="77777777" w:rsidR="00152C87" w:rsidRDefault="00152C87" w:rsidP="00945464">
      <w:pPr>
        <w:jc w:val="both"/>
      </w:pPr>
    </w:p>
    <w:p w14:paraId="10CACC1B" w14:textId="3DF2B3A2" w:rsidR="00737851" w:rsidRDefault="007F622D" w:rsidP="00945464">
      <w:pPr>
        <w:jc w:val="both"/>
      </w:pPr>
      <w:r>
        <w:t xml:space="preserve">Meeting Two will include the review of public comment and agreement </w:t>
      </w:r>
      <w:r w:rsidR="006E3ECC">
        <w:t>(or</w:t>
      </w:r>
      <w:r>
        <w:t xml:space="preserve"> otherwise) to ballot the finalised draft.</w:t>
      </w:r>
    </w:p>
    <w:p w14:paraId="10A48840" w14:textId="130BBD72" w:rsidR="007F622D" w:rsidRDefault="007F622D" w:rsidP="00945464">
      <w:pPr>
        <w:jc w:val="both"/>
      </w:pPr>
    </w:p>
    <w:p w14:paraId="446F68C0" w14:textId="5DA8B9E3" w:rsidR="007F622D" w:rsidRDefault="007F622D" w:rsidP="00292A6F">
      <w:pPr>
        <w:jc w:val="both"/>
      </w:pPr>
      <w:r>
        <w:t xml:space="preserve">To </w:t>
      </w:r>
      <w:r w:rsidR="00945464">
        <w:t>minimise cost and as the proposed changes</w:t>
      </w:r>
      <w:r w:rsidR="008B5C59">
        <w:t xml:space="preserve"> to AS/NZS 4708</w:t>
      </w:r>
      <w:r w:rsidR="00945464">
        <w:t xml:space="preserve"> are </w:t>
      </w:r>
      <w:r w:rsidR="008B5C59">
        <w:t xml:space="preserve">very </w:t>
      </w:r>
      <w:r w:rsidR="00945464">
        <w:t>minimal and clearly understood, meeting</w:t>
      </w:r>
      <w:r w:rsidR="008B5C59">
        <w:t>s</w:t>
      </w:r>
      <w:r w:rsidR="00945464">
        <w:t xml:space="preserve"> will be held using telecommunications.  The proposed meeting schedule is provided in </w:t>
      </w:r>
      <w:r w:rsidR="00945464" w:rsidRPr="006E3ECC">
        <w:rPr>
          <w:b/>
          <w:bCs/>
        </w:rPr>
        <w:t>Table Four</w:t>
      </w:r>
      <w:r w:rsidR="00945464">
        <w:t>.</w:t>
      </w:r>
    </w:p>
    <w:p w14:paraId="1C51383D" w14:textId="77777777" w:rsidR="00CD18E1" w:rsidRDefault="00CD18E1" w:rsidP="00CD18E1">
      <w:pPr>
        <w:jc w:val="both"/>
      </w:pPr>
    </w:p>
    <w:p w14:paraId="72E731F5" w14:textId="423B0AE9" w:rsidR="00CD18E1" w:rsidRDefault="00152C87" w:rsidP="00CD18E1">
      <w:pPr>
        <w:pStyle w:val="Heading3"/>
        <w:jc w:val="center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TABLE FOUR: PROPOSED MEETING FORMATS</w:t>
      </w:r>
    </w:p>
    <w:p w14:paraId="2A746DE1" w14:textId="77777777" w:rsidR="00CD18E1" w:rsidRDefault="00CD18E1" w:rsidP="00CD1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CD18E1" w14:paraId="3CDD461A" w14:textId="77777777" w:rsidTr="00152C87">
        <w:tc>
          <w:tcPr>
            <w:tcW w:w="4523" w:type="dxa"/>
          </w:tcPr>
          <w:p w14:paraId="4FA81D8A" w14:textId="77777777" w:rsidR="00CD18E1" w:rsidRPr="00CD18E1" w:rsidRDefault="00CD18E1" w:rsidP="00E211BF">
            <w:pPr>
              <w:rPr>
                <w:b/>
              </w:rPr>
            </w:pPr>
            <w:r w:rsidRPr="00CD18E1">
              <w:rPr>
                <w:b/>
              </w:rPr>
              <w:t>M</w:t>
            </w:r>
            <w:r w:rsidR="00E211BF">
              <w:rPr>
                <w:b/>
              </w:rPr>
              <w:t>EETING NUMBER</w:t>
            </w:r>
          </w:p>
        </w:tc>
        <w:tc>
          <w:tcPr>
            <w:tcW w:w="4539" w:type="dxa"/>
          </w:tcPr>
          <w:p w14:paraId="7F8217F0" w14:textId="77777777" w:rsidR="00CD18E1" w:rsidRPr="00CD18E1" w:rsidRDefault="00CD18E1" w:rsidP="00E211BF">
            <w:pPr>
              <w:rPr>
                <w:b/>
              </w:rPr>
            </w:pPr>
            <w:r w:rsidRPr="00CD18E1">
              <w:rPr>
                <w:b/>
              </w:rPr>
              <w:t>F</w:t>
            </w:r>
            <w:r w:rsidR="00E211BF">
              <w:rPr>
                <w:b/>
              </w:rPr>
              <w:t>ORMAT</w:t>
            </w:r>
          </w:p>
        </w:tc>
      </w:tr>
      <w:tr w:rsidR="00CD18E1" w14:paraId="58AD0030" w14:textId="77777777" w:rsidTr="00152C87">
        <w:tc>
          <w:tcPr>
            <w:tcW w:w="4523" w:type="dxa"/>
          </w:tcPr>
          <w:p w14:paraId="0FD72D4A" w14:textId="1770C0E0" w:rsidR="00CD18E1" w:rsidRDefault="00CD18E1" w:rsidP="00CD18E1">
            <w:r>
              <w:t>No. 1 – Kick of</w:t>
            </w:r>
            <w:r w:rsidR="00D51249">
              <w:t>f</w:t>
            </w:r>
            <w:r>
              <w:t xml:space="preserve"> Meeting</w:t>
            </w:r>
            <w:r w:rsidR="00152C87">
              <w:t>-Agreement on text and public comment</w:t>
            </w:r>
          </w:p>
        </w:tc>
        <w:tc>
          <w:tcPr>
            <w:tcW w:w="4539" w:type="dxa"/>
          </w:tcPr>
          <w:p w14:paraId="4CF11B31" w14:textId="7053ECE6" w:rsidR="00CD18E1" w:rsidRDefault="00152C87" w:rsidP="00CD18E1">
            <w:r>
              <w:t>Teleconference</w:t>
            </w:r>
          </w:p>
        </w:tc>
      </w:tr>
      <w:tr w:rsidR="00CD18E1" w14:paraId="5D707DA9" w14:textId="77777777" w:rsidTr="00152C87">
        <w:tc>
          <w:tcPr>
            <w:tcW w:w="4523" w:type="dxa"/>
          </w:tcPr>
          <w:p w14:paraId="7FED2606" w14:textId="6B8E446A" w:rsidR="00CD18E1" w:rsidRDefault="00CD18E1" w:rsidP="00CD18E1">
            <w:r>
              <w:t>No. 2</w:t>
            </w:r>
            <w:r w:rsidR="00152C87">
              <w:t xml:space="preserve"> – Review of Public Comments an agreement on Ballot</w:t>
            </w:r>
          </w:p>
        </w:tc>
        <w:tc>
          <w:tcPr>
            <w:tcW w:w="4539" w:type="dxa"/>
          </w:tcPr>
          <w:p w14:paraId="47D8A64C" w14:textId="77777777" w:rsidR="00CD18E1" w:rsidRDefault="00CD18E1" w:rsidP="00CD18E1">
            <w:r>
              <w:t>Teleconference</w:t>
            </w:r>
          </w:p>
        </w:tc>
      </w:tr>
    </w:tbl>
    <w:p w14:paraId="706FD110" w14:textId="498C9702" w:rsidR="00E211BF" w:rsidRDefault="00E211BF" w:rsidP="00CD18E1"/>
    <w:p w14:paraId="597B6EEA" w14:textId="77777777" w:rsidR="006E3ECC" w:rsidRDefault="006E3ECC" w:rsidP="00CD18E1">
      <w:pPr>
        <w:sectPr w:rsidR="006E3ECC" w:rsidSect="00C77C21">
          <w:pgSz w:w="11900" w:h="16840"/>
          <w:pgMar w:top="1560" w:right="1127" w:bottom="737" w:left="1701" w:header="709" w:footer="709" w:gutter="0"/>
          <w:cols w:space="708"/>
          <w:docGrid w:linePitch="360"/>
        </w:sectPr>
      </w:pPr>
    </w:p>
    <w:p w14:paraId="785B263D" w14:textId="77777777" w:rsidR="00CD18E1" w:rsidRDefault="00E211BF" w:rsidP="00FA30E7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lastRenderedPageBreak/>
        <w:t>Timelines, Milestones and Completion Dates</w:t>
      </w:r>
    </w:p>
    <w:p w14:paraId="5BD6FD13" w14:textId="77777777" w:rsidR="00E211BF" w:rsidRDefault="00E211BF" w:rsidP="00E211BF"/>
    <w:p w14:paraId="61B7B91D" w14:textId="23BB3286" w:rsidR="00E211BF" w:rsidRDefault="00E211BF" w:rsidP="00E211BF">
      <w:r w:rsidRPr="006E3ECC">
        <w:rPr>
          <w:b/>
          <w:bCs/>
        </w:rPr>
        <w:t xml:space="preserve">Table </w:t>
      </w:r>
      <w:r w:rsidR="006E3ECC" w:rsidRPr="006E3ECC">
        <w:rPr>
          <w:b/>
          <w:bCs/>
        </w:rPr>
        <w:t>Five</w:t>
      </w:r>
      <w:r w:rsidR="006E3ECC">
        <w:t xml:space="preserve"> </w:t>
      </w:r>
      <w:r>
        <w:t>outlines the proposed timelines.</w:t>
      </w:r>
    </w:p>
    <w:p w14:paraId="604566FF" w14:textId="77777777" w:rsidR="00E211BF" w:rsidRDefault="00E211BF" w:rsidP="00E211BF"/>
    <w:p w14:paraId="618D4031" w14:textId="5FD3016B" w:rsidR="00E211BF" w:rsidRDefault="006E3ECC" w:rsidP="00E211BF">
      <w:pPr>
        <w:pStyle w:val="Heading3"/>
        <w:jc w:val="center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TABLE FIVE: PROPOSED AMENDMENT DEVELOPMENT TIMELINES</w:t>
      </w:r>
    </w:p>
    <w:p w14:paraId="02E485CD" w14:textId="77777777" w:rsidR="00E211BF" w:rsidRDefault="00E211BF" w:rsidP="00E211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211BF" w14:paraId="2EC7F15A" w14:textId="77777777" w:rsidTr="006E3ECC">
        <w:tc>
          <w:tcPr>
            <w:tcW w:w="5382" w:type="dxa"/>
          </w:tcPr>
          <w:p w14:paraId="13EDAF77" w14:textId="77777777" w:rsidR="00E211BF" w:rsidRPr="00E211BF" w:rsidRDefault="00E211BF" w:rsidP="00E211BF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680" w:type="dxa"/>
          </w:tcPr>
          <w:p w14:paraId="20711F3C" w14:textId="77777777" w:rsidR="00E211BF" w:rsidRPr="00E211BF" w:rsidRDefault="00E211BF" w:rsidP="00E211BF">
            <w:pPr>
              <w:rPr>
                <w:b/>
              </w:rPr>
            </w:pPr>
            <w:r w:rsidRPr="00E211BF">
              <w:rPr>
                <w:b/>
              </w:rPr>
              <w:t>DUE DATE</w:t>
            </w:r>
          </w:p>
        </w:tc>
      </w:tr>
      <w:tr w:rsidR="00E211BF" w14:paraId="13FD7910" w14:textId="77777777" w:rsidTr="006E3ECC">
        <w:tc>
          <w:tcPr>
            <w:tcW w:w="5382" w:type="dxa"/>
          </w:tcPr>
          <w:p w14:paraId="4782D825" w14:textId="5129B7BF" w:rsidR="00E211BF" w:rsidRDefault="006E3ECC" w:rsidP="00E211BF">
            <w:r>
              <w:t>Approval of project by Responsible Wood Board</w:t>
            </w:r>
          </w:p>
        </w:tc>
        <w:tc>
          <w:tcPr>
            <w:tcW w:w="3680" w:type="dxa"/>
          </w:tcPr>
          <w:p w14:paraId="01AAE41A" w14:textId="2425DD5B" w:rsidR="00E211BF" w:rsidRDefault="006E3ECC" w:rsidP="00E211BF">
            <w:r>
              <w:t>March 2022</w:t>
            </w:r>
          </w:p>
        </w:tc>
      </w:tr>
      <w:tr w:rsidR="00E211BF" w14:paraId="19A37567" w14:textId="77777777" w:rsidTr="006E3ECC">
        <w:tc>
          <w:tcPr>
            <w:tcW w:w="5382" w:type="dxa"/>
          </w:tcPr>
          <w:p w14:paraId="2109C3CF" w14:textId="1619415E" w:rsidR="00E211BF" w:rsidRDefault="00CA2F75" w:rsidP="00E211BF">
            <w:r>
              <w:t xml:space="preserve">Meeting No. </w:t>
            </w:r>
            <w:r w:rsidR="006E3ECC">
              <w:t>1</w:t>
            </w:r>
          </w:p>
        </w:tc>
        <w:tc>
          <w:tcPr>
            <w:tcW w:w="3680" w:type="dxa"/>
          </w:tcPr>
          <w:p w14:paraId="0EA98D6E" w14:textId="2130703E" w:rsidR="00E211BF" w:rsidRDefault="006E3ECC" w:rsidP="00E211BF">
            <w:r>
              <w:t>April 2022</w:t>
            </w:r>
          </w:p>
        </w:tc>
      </w:tr>
      <w:tr w:rsidR="00E211BF" w14:paraId="20D915E8" w14:textId="77777777" w:rsidTr="006E3ECC">
        <w:tc>
          <w:tcPr>
            <w:tcW w:w="5382" w:type="dxa"/>
          </w:tcPr>
          <w:p w14:paraId="0E732CFA" w14:textId="77777777" w:rsidR="00E211BF" w:rsidRDefault="00CA2F75" w:rsidP="00E211BF">
            <w:r>
              <w:t>Public Comment</w:t>
            </w:r>
          </w:p>
        </w:tc>
        <w:tc>
          <w:tcPr>
            <w:tcW w:w="3680" w:type="dxa"/>
          </w:tcPr>
          <w:p w14:paraId="73911B81" w14:textId="11B5C225" w:rsidR="00E211BF" w:rsidRDefault="006E3ECC" w:rsidP="00C963FB">
            <w:r>
              <w:t>April-July 2022</w:t>
            </w:r>
          </w:p>
        </w:tc>
      </w:tr>
      <w:tr w:rsidR="00E211BF" w14:paraId="11D0D565" w14:textId="77777777" w:rsidTr="006E3ECC">
        <w:tc>
          <w:tcPr>
            <w:tcW w:w="5382" w:type="dxa"/>
          </w:tcPr>
          <w:p w14:paraId="432A2A71" w14:textId="7A28F7D6" w:rsidR="00E211BF" w:rsidRDefault="00CA2F75" w:rsidP="00E211BF">
            <w:r>
              <w:t xml:space="preserve">Meeting No. </w:t>
            </w:r>
            <w:r w:rsidR="006E3ECC">
              <w:t>2</w:t>
            </w:r>
          </w:p>
        </w:tc>
        <w:tc>
          <w:tcPr>
            <w:tcW w:w="3680" w:type="dxa"/>
          </w:tcPr>
          <w:p w14:paraId="43AAFDA1" w14:textId="415E97DF" w:rsidR="00E211BF" w:rsidRDefault="006E3ECC" w:rsidP="00C963FB">
            <w:r>
              <w:t>August 2022</w:t>
            </w:r>
          </w:p>
        </w:tc>
      </w:tr>
      <w:tr w:rsidR="00E211BF" w14:paraId="49A50687" w14:textId="77777777" w:rsidTr="006E3ECC">
        <w:tc>
          <w:tcPr>
            <w:tcW w:w="5382" w:type="dxa"/>
          </w:tcPr>
          <w:p w14:paraId="1397373F" w14:textId="77777777" w:rsidR="00E211BF" w:rsidRDefault="00CA2F75" w:rsidP="00E211BF">
            <w:r>
              <w:t>Ballot</w:t>
            </w:r>
          </w:p>
        </w:tc>
        <w:tc>
          <w:tcPr>
            <w:tcW w:w="3680" w:type="dxa"/>
          </w:tcPr>
          <w:p w14:paraId="2B2F1E2A" w14:textId="1176FE88" w:rsidR="00E211BF" w:rsidRDefault="006E3ECC" w:rsidP="00C963FB">
            <w:r>
              <w:t>September 2022</w:t>
            </w:r>
          </w:p>
        </w:tc>
      </w:tr>
      <w:tr w:rsidR="00E211BF" w14:paraId="3F7DDEB8" w14:textId="77777777" w:rsidTr="006E3ECC">
        <w:tc>
          <w:tcPr>
            <w:tcW w:w="5382" w:type="dxa"/>
          </w:tcPr>
          <w:p w14:paraId="5AF837A4" w14:textId="69CB6FDD" w:rsidR="00E211BF" w:rsidRDefault="00CA2F75" w:rsidP="00E211BF">
            <w:r>
              <w:t xml:space="preserve">Approval by Responsible Wood </w:t>
            </w:r>
            <w:r w:rsidR="006E3ECC">
              <w:t>Board</w:t>
            </w:r>
          </w:p>
        </w:tc>
        <w:tc>
          <w:tcPr>
            <w:tcW w:w="3680" w:type="dxa"/>
          </w:tcPr>
          <w:p w14:paraId="7F7B7D2B" w14:textId="2A75C5C8" w:rsidR="00E211BF" w:rsidRDefault="006E3ECC" w:rsidP="00C963FB">
            <w:r>
              <w:t>October 2022</w:t>
            </w:r>
          </w:p>
        </w:tc>
      </w:tr>
      <w:tr w:rsidR="00E211BF" w14:paraId="40470E28" w14:textId="77777777" w:rsidTr="006E3ECC">
        <w:tc>
          <w:tcPr>
            <w:tcW w:w="5382" w:type="dxa"/>
          </w:tcPr>
          <w:p w14:paraId="5AD61BAC" w14:textId="77777777" w:rsidR="00E211BF" w:rsidRDefault="00CA2F75" w:rsidP="00E211BF">
            <w:r>
              <w:t>Publishing</w:t>
            </w:r>
          </w:p>
        </w:tc>
        <w:tc>
          <w:tcPr>
            <w:tcW w:w="3680" w:type="dxa"/>
          </w:tcPr>
          <w:p w14:paraId="62F085BA" w14:textId="4F8034E0" w:rsidR="00E211BF" w:rsidRDefault="006E3ECC" w:rsidP="00C963FB">
            <w:r>
              <w:t>October 2022</w:t>
            </w:r>
          </w:p>
        </w:tc>
      </w:tr>
    </w:tbl>
    <w:p w14:paraId="00F6E95B" w14:textId="0479621A" w:rsidR="00E211BF" w:rsidRDefault="00E211BF" w:rsidP="00E211BF"/>
    <w:p w14:paraId="7E5879D1" w14:textId="720144B9" w:rsidR="00CA2F75" w:rsidRDefault="006E3ECC" w:rsidP="006E3ECC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Estimated Costs</w:t>
      </w:r>
    </w:p>
    <w:p w14:paraId="397B004D" w14:textId="081F2A79" w:rsidR="00CA2F75" w:rsidRDefault="00CA2F75" w:rsidP="006E3ECC">
      <w:pPr>
        <w:jc w:val="both"/>
      </w:pPr>
    </w:p>
    <w:p w14:paraId="2EAD2C0A" w14:textId="33F389DC" w:rsidR="006E3ECC" w:rsidRDefault="006E3ECC" w:rsidP="006E3ECC">
      <w:pPr>
        <w:jc w:val="both"/>
      </w:pPr>
      <w:r>
        <w:t>The costs of processing the proposed amendment are minimal and mostly</w:t>
      </w:r>
      <w:r w:rsidR="008B5C59">
        <w:t xml:space="preserve"> involve Responsible Wood </w:t>
      </w:r>
      <w:r>
        <w:t>staff time.</w:t>
      </w:r>
    </w:p>
    <w:p w14:paraId="0994E005" w14:textId="2F62D88A" w:rsidR="006E3ECC" w:rsidRDefault="006E3ECC" w:rsidP="006E3ECC">
      <w:pPr>
        <w:jc w:val="both"/>
      </w:pPr>
    </w:p>
    <w:p w14:paraId="7E19ECDD" w14:textId="6A12256E" w:rsidR="006E3ECC" w:rsidRDefault="006E3ECC" w:rsidP="006E3ECC">
      <w:pPr>
        <w:jc w:val="both"/>
      </w:pPr>
      <w:r>
        <w:t>The Chair of the AS/NZS 4708 Standards Reference Committee has agreed to complete this revision at no cost.</w:t>
      </w:r>
    </w:p>
    <w:p w14:paraId="5532E153" w14:textId="1BFB0A5E" w:rsidR="006E3ECC" w:rsidRDefault="006E3ECC" w:rsidP="006E3ECC">
      <w:pPr>
        <w:jc w:val="both"/>
      </w:pPr>
    </w:p>
    <w:p w14:paraId="08C96A21" w14:textId="17D5C48D" w:rsidR="006E3ECC" w:rsidRDefault="006E3ECC" w:rsidP="006E3ECC">
      <w:pPr>
        <w:jc w:val="both"/>
      </w:pPr>
      <w:r>
        <w:t>The estimate costs are provided following.</w:t>
      </w:r>
    </w:p>
    <w:p w14:paraId="3EC76A68" w14:textId="77777777" w:rsidR="003769F2" w:rsidRDefault="003769F2" w:rsidP="003769F2">
      <w:pPr>
        <w:jc w:val="both"/>
      </w:pPr>
    </w:p>
    <w:p w14:paraId="0349E8DC" w14:textId="77777777" w:rsidR="003769F2" w:rsidRPr="003769F2" w:rsidRDefault="003769F2" w:rsidP="003769F2">
      <w:pPr>
        <w:pStyle w:val="Heading3"/>
        <w:jc w:val="center"/>
        <w:rPr>
          <w:rFonts w:asciiTheme="minorHAnsi" w:hAnsiTheme="minorHAnsi"/>
          <w:b/>
          <w:color w:val="auto"/>
          <w:u w:val="single"/>
        </w:rPr>
      </w:pPr>
      <w:r w:rsidRPr="003769F2">
        <w:rPr>
          <w:rFonts w:asciiTheme="minorHAnsi" w:hAnsiTheme="minorHAnsi"/>
          <w:b/>
          <w:color w:val="auto"/>
          <w:u w:val="single"/>
        </w:rPr>
        <w:t>Estimated Development Costs</w:t>
      </w:r>
    </w:p>
    <w:p w14:paraId="4576E191" w14:textId="77777777" w:rsidR="003769F2" w:rsidRDefault="003769F2" w:rsidP="003769F2"/>
    <w:p w14:paraId="438F9AFC" w14:textId="401B8CAB" w:rsidR="003769F2" w:rsidRDefault="003769F2" w:rsidP="003769F2">
      <w:pPr>
        <w:pStyle w:val="ListParagraph"/>
        <w:numPr>
          <w:ilvl w:val="0"/>
          <w:numId w:val="10"/>
        </w:numPr>
      </w:pPr>
      <w:r>
        <w:t>Consulting Fees (Chair and Secretary)</w:t>
      </w:r>
      <w:r>
        <w:tab/>
      </w:r>
      <w:r w:rsidR="006E3ECC">
        <w:t>Nil</w:t>
      </w:r>
    </w:p>
    <w:p w14:paraId="7BF04DF1" w14:textId="77777777" w:rsidR="006E3ECC" w:rsidRDefault="006E3ECC" w:rsidP="006E3ECC">
      <w:pPr>
        <w:pStyle w:val="ListParagraph"/>
      </w:pPr>
    </w:p>
    <w:p w14:paraId="561A0AC2" w14:textId="2597D590" w:rsidR="006E3ECC" w:rsidRDefault="006E3ECC" w:rsidP="003769F2">
      <w:pPr>
        <w:pStyle w:val="ListParagraph"/>
        <w:numPr>
          <w:ilvl w:val="0"/>
          <w:numId w:val="10"/>
        </w:numPr>
      </w:pPr>
      <w:r>
        <w:t>Consulting fees</w:t>
      </w:r>
      <w:r w:rsidR="00027DAE">
        <w:t xml:space="preserve"> (Conservation </w:t>
      </w:r>
      <w:r w:rsidR="008B5C59">
        <w:t>Biologist</w:t>
      </w:r>
      <w:r w:rsidR="00027DAE">
        <w:t>)</w:t>
      </w:r>
      <w:r w:rsidR="00027DAE">
        <w:tab/>
        <w:t>$500</w:t>
      </w:r>
    </w:p>
    <w:p w14:paraId="5391563F" w14:textId="77777777" w:rsidR="006E3ECC" w:rsidRDefault="006E3ECC" w:rsidP="006E3ECC">
      <w:pPr>
        <w:pStyle w:val="ListParagraph"/>
      </w:pPr>
    </w:p>
    <w:p w14:paraId="770D9152" w14:textId="3C2D9D01" w:rsidR="003769F2" w:rsidRDefault="003769F2" w:rsidP="003769F2">
      <w:pPr>
        <w:pStyle w:val="ListParagraph"/>
        <w:numPr>
          <w:ilvl w:val="0"/>
          <w:numId w:val="10"/>
        </w:numPr>
      </w:pPr>
      <w:r>
        <w:t>Meeting Costs</w:t>
      </w:r>
      <w:r>
        <w:tab/>
      </w:r>
      <w:r>
        <w:tab/>
      </w:r>
      <w:r>
        <w:tab/>
      </w:r>
      <w:r>
        <w:tab/>
      </w:r>
      <w:r>
        <w:tab/>
      </w:r>
      <w:r w:rsidR="00027DAE">
        <w:t>Nil</w:t>
      </w:r>
    </w:p>
    <w:p w14:paraId="6CA96002" w14:textId="77777777" w:rsidR="00027DAE" w:rsidRDefault="00027DAE" w:rsidP="00027DAE">
      <w:pPr>
        <w:pStyle w:val="ListParagraph"/>
      </w:pPr>
    </w:p>
    <w:p w14:paraId="5E8D00E1" w14:textId="6400E3FB" w:rsidR="003769F2" w:rsidRDefault="003769F2" w:rsidP="003769F2">
      <w:pPr>
        <w:pStyle w:val="ListParagraph"/>
        <w:numPr>
          <w:ilvl w:val="0"/>
          <w:numId w:val="10"/>
        </w:numPr>
      </w:pPr>
      <w:r>
        <w:t>Travel Costs</w:t>
      </w:r>
      <w:r>
        <w:tab/>
      </w:r>
      <w:r>
        <w:tab/>
      </w:r>
      <w:r>
        <w:tab/>
      </w:r>
      <w:r>
        <w:tab/>
      </w:r>
      <w:r>
        <w:tab/>
        <w:t>$</w:t>
      </w:r>
      <w:r w:rsidR="00027DAE">
        <w:t>Nil</w:t>
      </w:r>
    </w:p>
    <w:p w14:paraId="6267AEF3" w14:textId="77777777" w:rsidR="003769F2" w:rsidRDefault="003769F2" w:rsidP="003769F2"/>
    <w:p w14:paraId="3EAF79BE" w14:textId="26AFF1C2" w:rsidR="003769F2" w:rsidRDefault="003769F2" w:rsidP="003769F2">
      <w:pPr>
        <w:pStyle w:val="ListParagraph"/>
        <w:numPr>
          <w:ilvl w:val="0"/>
          <w:numId w:val="10"/>
        </w:numPr>
      </w:pPr>
      <w:r>
        <w:t>Advertising (Public Comment)</w:t>
      </w:r>
      <w:r>
        <w:tab/>
      </w:r>
      <w:r>
        <w:tab/>
        <w:t>$</w:t>
      </w:r>
      <w:r w:rsidR="00027DAE">
        <w:t>200</w:t>
      </w:r>
    </w:p>
    <w:p w14:paraId="6CDE4337" w14:textId="77777777" w:rsidR="003769F2" w:rsidRPr="003769F2" w:rsidRDefault="003769F2" w:rsidP="003769F2">
      <w:pPr>
        <w:pStyle w:val="ListParagraph"/>
      </w:pPr>
    </w:p>
    <w:p w14:paraId="25C582FA" w14:textId="4EF12437" w:rsidR="003769F2" w:rsidRPr="003769F2" w:rsidRDefault="003769F2" w:rsidP="003769F2">
      <w:pPr>
        <w:pStyle w:val="ListParagraph"/>
        <w:rPr>
          <w:b/>
        </w:rPr>
      </w:pPr>
      <w:r w:rsidRPr="00A92347">
        <w:rPr>
          <w:b/>
          <w:u w:val="single"/>
        </w:rPr>
        <w:t>TOTAL</w:t>
      </w:r>
      <w:r w:rsidRPr="003769F2">
        <w:rPr>
          <w:b/>
        </w:rPr>
        <w:t>:</w:t>
      </w:r>
      <w:r w:rsidRPr="003769F2">
        <w:rPr>
          <w:b/>
        </w:rPr>
        <w:tab/>
      </w:r>
      <w:r w:rsidRPr="003769F2">
        <w:rPr>
          <w:b/>
        </w:rPr>
        <w:tab/>
      </w:r>
      <w:r w:rsidRPr="003769F2">
        <w:rPr>
          <w:b/>
        </w:rPr>
        <w:tab/>
      </w:r>
      <w:r w:rsidRPr="003769F2">
        <w:rPr>
          <w:b/>
        </w:rPr>
        <w:tab/>
      </w:r>
      <w:r w:rsidRPr="003769F2">
        <w:rPr>
          <w:b/>
        </w:rPr>
        <w:tab/>
      </w:r>
      <w:r w:rsidRPr="003769F2">
        <w:rPr>
          <w:b/>
          <w:u w:val="single"/>
        </w:rPr>
        <w:t>$</w:t>
      </w:r>
      <w:r w:rsidR="00027DAE">
        <w:rPr>
          <w:b/>
          <w:u w:val="single"/>
        </w:rPr>
        <w:t>700</w:t>
      </w:r>
    </w:p>
    <w:p w14:paraId="253E7D2D" w14:textId="77777777" w:rsidR="003769F2" w:rsidRDefault="003769F2">
      <w:pPr>
        <w:pStyle w:val="ListParagraph"/>
        <w:rPr>
          <w:b/>
        </w:rPr>
      </w:pPr>
    </w:p>
    <w:p w14:paraId="4ACDC6F2" w14:textId="77777777" w:rsidR="000929DC" w:rsidRDefault="00F9419C" w:rsidP="000929DC">
      <w:pPr>
        <w:pStyle w:val="Heading3"/>
        <w:numPr>
          <w:ilvl w:val="0"/>
          <w:numId w:val="13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Risks</w:t>
      </w:r>
    </w:p>
    <w:p w14:paraId="53561E1C" w14:textId="77777777" w:rsidR="00F9419C" w:rsidRDefault="00F9419C" w:rsidP="00F9419C"/>
    <w:p w14:paraId="29CDFD1A" w14:textId="3B01C740" w:rsidR="00F9419C" w:rsidRDefault="00F9419C" w:rsidP="00F9419C">
      <w:pPr>
        <w:jc w:val="both"/>
      </w:pPr>
      <w:r>
        <w:t xml:space="preserve">Developing </w:t>
      </w:r>
      <w:r w:rsidR="00027DAE">
        <w:t>this amendment</w:t>
      </w:r>
      <w:r>
        <w:t xml:space="preserve"> is not without risk</w:t>
      </w:r>
      <w:r w:rsidR="000F59A4">
        <w:t xml:space="preserve">. </w:t>
      </w:r>
      <w:r>
        <w:t xml:space="preserve">Detailed </w:t>
      </w:r>
      <w:r w:rsidR="00027DAE">
        <w:t xml:space="preserve">following </w:t>
      </w:r>
      <w:r w:rsidR="00027DAE" w:rsidRPr="00027DAE">
        <w:rPr>
          <w:b/>
          <w:bCs/>
        </w:rPr>
        <w:t>(Table Six)</w:t>
      </w:r>
      <w:r>
        <w:t xml:space="preserve"> is an assessment of the</w:t>
      </w:r>
      <w:r w:rsidR="008C1DCA">
        <w:t xml:space="preserve"> identified</w:t>
      </w:r>
      <w:r>
        <w:t xml:space="preserve"> risks and</w:t>
      </w:r>
      <w:r w:rsidR="008C1DCA">
        <w:t xml:space="preserve"> an assessment of their</w:t>
      </w:r>
      <w:r>
        <w:t xml:space="preserve"> potential impact.</w:t>
      </w:r>
    </w:p>
    <w:p w14:paraId="5E739B9F" w14:textId="77777777" w:rsidR="00F9419C" w:rsidRDefault="00F9419C" w:rsidP="00F9419C">
      <w:pPr>
        <w:jc w:val="both"/>
      </w:pPr>
    </w:p>
    <w:p w14:paraId="6AE7E3EF" w14:textId="77777777" w:rsidR="008C1DCA" w:rsidRDefault="008C1DCA" w:rsidP="00F9419C">
      <w:pPr>
        <w:jc w:val="both"/>
      </w:pPr>
    </w:p>
    <w:p w14:paraId="5D20318C" w14:textId="77777777" w:rsidR="008C1DCA" w:rsidRDefault="008C1DCA" w:rsidP="00F9419C">
      <w:pPr>
        <w:jc w:val="both"/>
        <w:sectPr w:rsidR="008C1DCA" w:rsidSect="00C77C21">
          <w:pgSz w:w="11900" w:h="16840"/>
          <w:pgMar w:top="1560" w:right="1127" w:bottom="737" w:left="1701" w:header="709" w:footer="709" w:gutter="0"/>
          <w:cols w:space="708"/>
          <w:docGrid w:linePitch="360"/>
        </w:sectPr>
      </w:pPr>
    </w:p>
    <w:p w14:paraId="3719AD17" w14:textId="414181D9" w:rsidR="00F9419C" w:rsidRPr="00F9419C" w:rsidRDefault="00027DAE" w:rsidP="00F9419C">
      <w:pPr>
        <w:pStyle w:val="Heading3"/>
        <w:jc w:val="center"/>
        <w:rPr>
          <w:rFonts w:asciiTheme="minorHAnsi" w:hAnsiTheme="minorHAnsi"/>
          <w:b/>
          <w:color w:val="auto"/>
          <w:u w:val="single"/>
        </w:rPr>
      </w:pPr>
      <w:r w:rsidRPr="00F9419C">
        <w:rPr>
          <w:rFonts w:asciiTheme="minorHAnsi" w:hAnsiTheme="minorHAnsi"/>
          <w:b/>
          <w:color w:val="auto"/>
          <w:u w:val="single"/>
        </w:rPr>
        <w:lastRenderedPageBreak/>
        <w:t>TABLE S</w:t>
      </w:r>
      <w:r>
        <w:rPr>
          <w:rFonts w:asciiTheme="minorHAnsi" w:hAnsiTheme="minorHAnsi"/>
          <w:b/>
          <w:color w:val="auto"/>
          <w:u w:val="single"/>
        </w:rPr>
        <w:t>IX</w:t>
      </w:r>
      <w:r w:rsidRPr="00F9419C">
        <w:rPr>
          <w:rFonts w:asciiTheme="minorHAnsi" w:hAnsiTheme="minorHAnsi"/>
          <w:b/>
          <w:color w:val="auto"/>
          <w:u w:val="single"/>
        </w:rPr>
        <w:t>: RISK ASSESSMENT MATRIX</w:t>
      </w:r>
    </w:p>
    <w:p w14:paraId="6F120E0A" w14:textId="77777777" w:rsidR="00F9419C" w:rsidRDefault="00F9419C" w:rsidP="00F9419C">
      <w:pPr>
        <w:jc w:val="both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390"/>
        <w:gridCol w:w="1842"/>
        <w:gridCol w:w="2694"/>
        <w:gridCol w:w="5670"/>
      </w:tblGrid>
      <w:tr w:rsidR="00F9419C" w14:paraId="1E52AA69" w14:textId="77777777" w:rsidTr="00F9265F">
        <w:tc>
          <w:tcPr>
            <w:tcW w:w="4390" w:type="dxa"/>
          </w:tcPr>
          <w:p w14:paraId="22B188CD" w14:textId="77777777" w:rsidR="00F9419C" w:rsidRPr="00795C04" w:rsidRDefault="00F9419C" w:rsidP="00F9419C">
            <w:pPr>
              <w:jc w:val="both"/>
              <w:rPr>
                <w:b/>
              </w:rPr>
            </w:pPr>
            <w:r w:rsidRPr="00795C04">
              <w:rPr>
                <w:b/>
              </w:rPr>
              <w:t>RISK</w:t>
            </w:r>
          </w:p>
        </w:tc>
        <w:tc>
          <w:tcPr>
            <w:tcW w:w="1842" w:type="dxa"/>
          </w:tcPr>
          <w:p w14:paraId="0FD9DAFF" w14:textId="77777777" w:rsidR="00F9419C" w:rsidRPr="00795C04" w:rsidRDefault="00F9419C" w:rsidP="00F9419C">
            <w:pPr>
              <w:jc w:val="both"/>
              <w:rPr>
                <w:b/>
              </w:rPr>
            </w:pPr>
            <w:r w:rsidRPr="00795C04">
              <w:rPr>
                <w:b/>
              </w:rPr>
              <w:t>LIK</w:t>
            </w:r>
            <w:r w:rsidR="00795C04" w:rsidRPr="00795C04">
              <w:rPr>
                <w:b/>
              </w:rPr>
              <w:t>E</w:t>
            </w:r>
            <w:r w:rsidRPr="00795C04">
              <w:rPr>
                <w:b/>
              </w:rPr>
              <w:t>LIHOOD</w:t>
            </w:r>
          </w:p>
        </w:tc>
        <w:tc>
          <w:tcPr>
            <w:tcW w:w="2694" w:type="dxa"/>
          </w:tcPr>
          <w:p w14:paraId="33B316CB" w14:textId="77777777" w:rsidR="00F9419C" w:rsidRPr="00795C04" w:rsidRDefault="00795C04" w:rsidP="00F9419C">
            <w:pPr>
              <w:jc w:val="both"/>
              <w:rPr>
                <w:b/>
              </w:rPr>
            </w:pPr>
            <w:r w:rsidRPr="00795C04">
              <w:rPr>
                <w:b/>
              </w:rPr>
              <w:t>IMPACT</w:t>
            </w:r>
          </w:p>
        </w:tc>
        <w:tc>
          <w:tcPr>
            <w:tcW w:w="5670" w:type="dxa"/>
          </w:tcPr>
          <w:p w14:paraId="787E3F63" w14:textId="77777777" w:rsidR="00F9419C" w:rsidRPr="00795C04" w:rsidRDefault="00795C04" w:rsidP="00F9419C">
            <w:pPr>
              <w:jc w:val="both"/>
              <w:rPr>
                <w:b/>
              </w:rPr>
            </w:pPr>
            <w:r w:rsidRPr="00795C04">
              <w:rPr>
                <w:b/>
              </w:rPr>
              <w:t>COMMENT AND MITIGATION MEASURES</w:t>
            </w:r>
          </w:p>
        </w:tc>
      </w:tr>
      <w:tr w:rsidR="00F9419C" w14:paraId="2985B4D5" w14:textId="77777777" w:rsidTr="00F9265F">
        <w:tc>
          <w:tcPr>
            <w:tcW w:w="4390" w:type="dxa"/>
          </w:tcPr>
          <w:p w14:paraId="646031EB" w14:textId="44CF10C4" w:rsidR="00F9419C" w:rsidRDefault="00027DAE" w:rsidP="00557588">
            <w:pPr>
              <w:pStyle w:val="ListParagraph"/>
              <w:numPr>
                <w:ilvl w:val="0"/>
                <w:numId w:val="15"/>
              </w:numPr>
              <w:ind w:left="313"/>
              <w:jc w:val="both"/>
            </w:pPr>
            <w:r>
              <w:t>The positions</w:t>
            </w:r>
            <w:r w:rsidR="00795C04">
              <w:t xml:space="preserve"> of Australia and New Zealand</w:t>
            </w:r>
            <w:r>
              <w:t xml:space="preserve"> committee </w:t>
            </w:r>
            <w:r w:rsidR="000F59A4">
              <w:t>members on</w:t>
            </w:r>
            <w:r w:rsidR="008B5C59">
              <w:t xml:space="preserve"> the propose amendment </w:t>
            </w:r>
            <w:r w:rsidR="00795C04">
              <w:t>differ to the exten</w:t>
            </w:r>
            <w:r w:rsidR="00557588">
              <w:t>t</w:t>
            </w:r>
            <w:r w:rsidR="00795C04">
              <w:t xml:space="preserve"> they cannot be reconciled.</w:t>
            </w:r>
          </w:p>
        </w:tc>
        <w:tc>
          <w:tcPr>
            <w:tcW w:w="1842" w:type="dxa"/>
          </w:tcPr>
          <w:p w14:paraId="5967F1EA" w14:textId="2D887FB9" w:rsidR="00F9419C" w:rsidRDefault="00027DAE" w:rsidP="00F9419C">
            <w:pPr>
              <w:jc w:val="both"/>
            </w:pPr>
            <w:r>
              <w:t>Low</w:t>
            </w:r>
          </w:p>
        </w:tc>
        <w:tc>
          <w:tcPr>
            <w:tcW w:w="2694" w:type="dxa"/>
          </w:tcPr>
          <w:p w14:paraId="03B88D48" w14:textId="202BFE93" w:rsidR="00F9419C" w:rsidRDefault="008B5C59" w:rsidP="00F9419C">
            <w:pPr>
              <w:jc w:val="both"/>
            </w:pPr>
            <w:r>
              <w:t>Low</w:t>
            </w:r>
          </w:p>
        </w:tc>
        <w:tc>
          <w:tcPr>
            <w:tcW w:w="5670" w:type="dxa"/>
          </w:tcPr>
          <w:p w14:paraId="5A10AC84" w14:textId="1566C7BB" w:rsidR="00F9419C" w:rsidRDefault="00795C04" w:rsidP="00F9419C">
            <w:pPr>
              <w:jc w:val="both"/>
            </w:pPr>
            <w:r>
              <w:t>It is acceptable in a Joint Standard to list Country specific requirements e.g.</w:t>
            </w:r>
            <w:r w:rsidR="009F0571">
              <w:t xml:space="preserve"> “For application in New Zealand………</w:t>
            </w:r>
            <w:r w:rsidR="00260666">
              <w:t>a</w:t>
            </w:r>
            <w:r>
              <w:t>pplies”.</w:t>
            </w:r>
          </w:p>
          <w:p w14:paraId="4CB727FB" w14:textId="7B92EEE0" w:rsidR="00795C04" w:rsidRDefault="00027DAE" w:rsidP="00072918">
            <w:pPr>
              <w:jc w:val="both"/>
            </w:pPr>
            <w:r>
              <w:t xml:space="preserve">If necessary, the amended </w:t>
            </w:r>
            <w:r w:rsidR="000517B6">
              <w:t>cut-off</w:t>
            </w:r>
            <w:r>
              <w:t xml:space="preserve"> date could only apply in Australia.</w:t>
            </w:r>
          </w:p>
        </w:tc>
      </w:tr>
      <w:tr w:rsidR="00F9419C" w14:paraId="4CD28EB8" w14:textId="77777777" w:rsidTr="00F9265F">
        <w:tc>
          <w:tcPr>
            <w:tcW w:w="4390" w:type="dxa"/>
          </w:tcPr>
          <w:p w14:paraId="69D95495" w14:textId="1B99DBA5" w:rsidR="00F9419C" w:rsidRDefault="00B57634" w:rsidP="00557588">
            <w:pPr>
              <w:pStyle w:val="ListParagraph"/>
              <w:numPr>
                <w:ilvl w:val="0"/>
                <w:numId w:val="15"/>
              </w:numPr>
              <w:ind w:left="313"/>
              <w:jc w:val="both"/>
            </w:pPr>
            <w:r>
              <w:t xml:space="preserve">Public Comment feedback </w:t>
            </w:r>
            <w:r w:rsidR="00072918">
              <w:t xml:space="preserve">makes </w:t>
            </w:r>
            <w:r>
              <w:t>requests</w:t>
            </w:r>
            <w:r w:rsidR="00D51249">
              <w:t xml:space="preserve"> for</w:t>
            </w:r>
            <w:r>
              <w:t xml:space="preserve"> changes that are unobtainable</w:t>
            </w:r>
            <w:r w:rsidR="002E5C22">
              <w:t xml:space="preserve"> or unrealistic</w:t>
            </w:r>
            <w:r>
              <w:t xml:space="preserve"> in either Country</w:t>
            </w:r>
            <w:r w:rsidR="000517B6">
              <w:t xml:space="preserve"> (e.g. alignment with FSC cut-off dates)</w:t>
            </w:r>
          </w:p>
        </w:tc>
        <w:tc>
          <w:tcPr>
            <w:tcW w:w="1842" w:type="dxa"/>
          </w:tcPr>
          <w:p w14:paraId="518EB557" w14:textId="77777777" w:rsidR="00F9419C" w:rsidRDefault="00B57634" w:rsidP="00F9419C">
            <w:pPr>
              <w:jc w:val="both"/>
            </w:pPr>
            <w:r>
              <w:t>Low</w:t>
            </w:r>
          </w:p>
        </w:tc>
        <w:tc>
          <w:tcPr>
            <w:tcW w:w="2694" w:type="dxa"/>
          </w:tcPr>
          <w:p w14:paraId="6ACFA2F2" w14:textId="77777777" w:rsidR="00F9419C" w:rsidRDefault="00B57634" w:rsidP="00F9419C">
            <w:pPr>
              <w:jc w:val="both"/>
            </w:pPr>
            <w:r>
              <w:t>Low</w:t>
            </w:r>
          </w:p>
        </w:tc>
        <w:tc>
          <w:tcPr>
            <w:tcW w:w="5670" w:type="dxa"/>
          </w:tcPr>
          <w:p w14:paraId="3AAAFDAC" w14:textId="5A1C2870" w:rsidR="00F9419C" w:rsidRDefault="00B57634" w:rsidP="00072918">
            <w:pPr>
              <w:jc w:val="both"/>
            </w:pPr>
            <w:r>
              <w:t>Unrealistic requests will certainly be rejected by the Committee.</w:t>
            </w:r>
          </w:p>
        </w:tc>
      </w:tr>
      <w:tr w:rsidR="00C90DD2" w14:paraId="3110670F" w14:textId="77777777" w:rsidTr="00F9265F">
        <w:tc>
          <w:tcPr>
            <w:tcW w:w="4390" w:type="dxa"/>
          </w:tcPr>
          <w:p w14:paraId="5A67A78D" w14:textId="77777777" w:rsidR="00C90DD2" w:rsidRDefault="00834677" w:rsidP="00C90DD2">
            <w:pPr>
              <w:pStyle w:val="ListParagraph"/>
              <w:numPr>
                <w:ilvl w:val="0"/>
                <w:numId w:val="15"/>
              </w:numPr>
              <w:ind w:left="313"/>
              <w:jc w:val="both"/>
            </w:pPr>
            <w:r>
              <w:t>Excessive Delays</w:t>
            </w:r>
          </w:p>
        </w:tc>
        <w:tc>
          <w:tcPr>
            <w:tcW w:w="1842" w:type="dxa"/>
          </w:tcPr>
          <w:p w14:paraId="5593B81E" w14:textId="564418B4" w:rsidR="00C90DD2" w:rsidRDefault="00F9265F" w:rsidP="00F9419C">
            <w:pPr>
              <w:jc w:val="both"/>
            </w:pPr>
            <w:r>
              <w:t>Low</w:t>
            </w:r>
          </w:p>
        </w:tc>
        <w:tc>
          <w:tcPr>
            <w:tcW w:w="2694" w:type="dxa"/>
          </w:tcPr>
          <w:p w14:paraId="1F0B4652" w14:textId="52D20CDE" w:rsidR="00C90DD2" w:rsidRDefault="000517B6" w:rsidP="00F9419C">
            <w:pPr>
              <w:jc w:val="both"/>
            </w:pPr>
            <w:r>
              <w:t>Low</w:t>
            </w:r>
          </w:p>
        </w:tc>
        <w:tc>
          <w:tcPr>
            <w:tcW w:w="5670" w:type="dxa"/>
          </w:tcPr>
          <w:p w14:paraId="4A423604" w14:textId="5D2DCF9E" w:rsidR="00834677" w:rsidRDefault="000517B6" w:rsidP="00834677">
            <w:pPr>
              <w:jc w:val="both"/>
            </w:pPr>
            <w:r>
              <w:t xml:space="preserve">The proposed amendment is well </w:t>
            </w:r>
            <w:r w:rsidR="00B11A51">
              <w:t>defined</w:t>
            </w:r>
            <w:r>
              <w:t xml:space="preserve"> and is </w:t>
            </w:r>
            <w:r w:rsidR="00B11A51">
              <w:t>essentially</w:t>
            </w:r>
            <w:r>
              <w:t xml:space="preserve"> a change </w:t>
            </w:r>
            <w:r w:rsidR="00B11A51">
              <w:t>i</w:t>
            </w:r>
            <w:r>
              <w:t xml:space="preserve">n </w:t>
            </w:r>
            <w:r w:rsidR="008B5C59">
              <w:t xml:space="preserve">cut-off </w:t>
            </w:r>
            <w:r w:rsidR="00B11A51">
              <w:t>date</w:t>
            </w:r>
            <w:r>
              <w:t xml:space="preserve"> from 2007 to 2010.  The amendment will impact on a small </w:t>
            </w:r>
            <w:r w:rsidR="00B11A51">
              <w:t>area</w:t>
            </w:r>
            <w:r>
              <w:t xml:space="preserve"> of </w:t>
            </w:r>
            <w:r w:rsidR="00B11A51">
              <w:t>plantation</w:t>
            </w:r>
            <w:r>
              <w:t xml:space="preserve"> forest.</w:t>
            </w:r>
          </w:p>
          <w:p w14:paraId="2C24A0E1" w14:textId="77777777" w:rsidR="000517B6" w:rsidRDefault="00B11A51" w:rsidP="00B11A51">
            <w:pPr>
              <w:jc w:val="both"/>
            </w:pPr>
            <w:r>
              <w:t>AS/NZS 4708:2021 has been published ensuring that milestones for PEFC endorsement have been achieved.</w:t>
            </w:r>
          </w:p>
          <w:p w14:paraId="6304251B" w14:textId="79DCC2D0" w:rsidR="00B11A51" w:rsidRDefault="00B11A51" w:rsidP="00B11A51">
            <w:pPr>
              <w:jc w:val="both"/>
            </w:pPr>
            <w:r>
              <w:t>While delays may impact directly on forest managers with plantations developed after 2007, the impact on the wider industry and on Responsible Wood will be minimal.</w:t>
            </w:r>
          </w:p>
        </w:tc>
      </w:tr>
      <w:tr w:rsidR="00B11A51" w14:paraId="4746A9F2" w14:textId="77777777" w:rsidTr="00F9265F">
        <w:tc>
          <w:tcPr>
            <w:tcW w:w="4390" w:type="dxa"/>
          </w:tcPr>
          <w:p w14:paraId="5E477532" w14:textId="08EF30F4" w:rsidR="00B11A51" w:rsidRDefault="00B11A51" w:rsidP="00C90DD2">
            <w:pPr>
              <w:pStyle w:val="ListParagraph"/>
              <w:numPr>
                <w:ilvl w:val="0"/>
                <w:numId w:val="15"/>
              </w:numPr>
              <w:ind w:left="313"/>
              <w:jc w:val="both"/>
            </w:pPr>
            <w:r>
              <w:t>Financial Risk</w:t>
            </w:r>
          </w:p>
        </w:tc>
        <w:tc>
          <w:tcPr>
            <w:tcW w:w="1842" w:type="dxa"/>
          </w:tcPr>
          <w:p w14:paraId="7667DC72" w14:textId="4DE536CC" w:rsidR="00B11A51" w:rsidRDefault="00B11A51" w:rsidP="00F9419C">
            <w:pPr>
              <w:jc w:val="both"/>
            </w:pPr>
            <w:r>
              <w:t>Low</w:t>
            </w:r>
          </w:p>
        </w:tc>
        <w:tc>
          <w:tcPr>
            <w:tcW w:w="2694" w:type="dxa"/>
          </w:tcPr>
          <w:p w14:paraId="09810717" w14:textId="6CFE9092" w:rsidR="00B11A51" w:rsidRDefault="00B11A51" w:rsidP="00F9419C">
            <w:pPr>
              <w:jc w:val="both"/>
            </w:pPr>
            <w:r>
              <w:t>Low</w:t>
            </w:r>
          </w:p>
        </w:tc>
        <w:tc>
          <w:tcPr>
            <w:tcW w:w="5670" w:type="dxa"/>
          </w:tcPr>
          <w:p w14:paraId="35F9B2A1" w14:textId="091E28E0" w:rsidR="00B11A51" w:rsidRDefault="00B11A51" w:rsidP="00834677">
            <w:pPr>
              <w:jc w:val="both"/>
            </w:pPr>
            <w:r>
              <w:t>There is minimal likelihood of excessive costs.</w:t>
            </w:r>
          </w:p>
        </w:tc>
      </w:tr>
      <w:tr w:rsidR="00B11A51" w14:paraId="36A5F6B4" w14:textId="77777777" w:rsidTr="00F9265F">
        <w:tc>
          <w:tcPr>
            <w:tcW w:w="4390" w:type="dxa"/>
          </w:tcPr>
          <w:p w14:paraId="07B6D6F1" w14:textId="069DF76D" w:rsidR="00B11A51" w:rsidRDefault="008B5C59" w:rsidP="00C90DD2">
            <w:pPr>
              <w:pStyle w:val="ListParagraph"/>
              <w:numPr>
                <w:ilvl w:val="0"/>
                <w:numId w:val="15"/>
              </w:numPr>
              <w:ind w:left="313"/>
              <w:jc w:val="both"/>
            </w:pPr>
            <w:r>
              <w:t>Reputational</w:t>
            </w:r>
            <w:r w:rsidR="00B11A51">
              <w:t xml:space="preserve"> Risk</w:t>
            </w:r>
          </w:p>
        </w:tc>
        <w:tc>
          <w:tcPr>
            <w:tcW w:w="1842" w:type="dxa"/>
          </w:tcPr>
          <w:p w14:paraId="0C608C08" w14:textId="5B775555" w:rsidR="00B11A51" w:rsidRDefault="00B11A51" w:rsidP="00F9419C">
            <w:pPr>
              <w:jc w:val="both"/>
            </w:pPr>
            <w:r>
              <w:t>Moderate</w:t>
            </w:r>
          </w:p>
        </w:tc>
        <w:tc>
          <w:tcPr>
            <w:tcW w:w="2694" w:type="dxa"/>
          </w:tcPr>
          <w:p w14:paraId="6EE8D663" w14:textId="61B3631E" w:rsidR="00B11A51" w:rsidRDefault="00B11A51" w:rsidP="00F9419C">
            <w:pPr>
              <w:jc w:val="both"/>
            </w:pPr>
            <w:r>
              <w:t>Low</w:t>
            </w:r>
          </w:p>
        </w:tc>
        <w:tc>
          <w:tcPr>
            <w:tcW w:w="5670" w:type="dxa"/>
          </w:tcPr>
          <w:p w14:paraId="4DC3DD41" w14:textId="05704564" w:rsidR="00B11A51" w:rsidRDefault="00B11A51" w:rsidP="00834677">
            <w:pPr>
              <w:jc w:val="both"/>
            </w:pPr>
            <w:r>
              <w:t>There is moderate risk that environmental organisations would view the propos</w:t>
            </w:r>
            <w:r w:rsidR="008B5C59">
              <w:t>al</w:t>
            </w:r>
            <w:r>
              <w:t xml:space="preserve"> negatively and attempt to discredit the Responsible Wood Scheme.</w:t>
            </w:r>
          </w:p>
          <w:p w14:paraId="757578BE" w14:textId="16664C85" w:rsidR="00B11A51" w:rsidRDefault="00B11A51" w:rsidP="00834677">
            <w:pPr>
              <w:jc w:val="both"/>
            </w:pPr>
            <w:r>
              <w:t xml:space="preserve">However, the beneficiaries of this amendment are severely disadvantaged and </w:t>
            </w:r>
            <w:r w:rsidR="008B5C59">
              <w:t xml:space="preserve">considering the small area </w:t>
            </w:r>
            <w:r w:rsidR="00F9265F">
              <w:t>that could by impacted by the amendment</w:t>
            </w:r>
            <w:r w:rsidR="008B5C59">
              <w:t xml:space="preserve"> </w:t>
            </w:r>
            <w:r>
              <w:t>it is considered unlikely that attacks would be forthcoming.</w:t>
            </w:r>
          </w:p>
        </w:tc>
      </w:tr>
    </w:tbl>
    <w:p w14:paraId="2F351FD9" w14:textId="77777777" w:rsidR="00F9419C" w:rsidRDefault="00F9419C" w:rsidP="00F9419C">
      <w:pPr>
        <w:jc w:val="both"/>
      </w:pPr>
    </w:p>
    <w:p w14:paraId="24138B45" w14:textId="77777777" w:rsidR="00F9419C" w:rsidRDefault="00F9419C" w:rsidP="00F9419C">
      <w:pPr>
        <w:jc w:val="both"/>
        <w:sectPr w:rsidR="00F9419C" w:rsidSect="00F9265F">
          <w:pgSz w:w="16840" w:h="11900" w:orient="landscape"/>
          <w:pgMar w:top="709" w:right="1702" w:bottom="1127" w:left="737" w:header="709" w:footer="709" w:gutter="0"/>
          <w:cols w:space="708"/>
          <w:docGrid w:linePitch="360"/>
        </w:sectPr>
      </w:pPr>
    </w:p>
    <w:p w14:paraId="1CD29BD4" w14:textId="77777777" w:rsidR="00EE732C" w:rsidRDefault="00EE732C" w:rsidP="000929DC">
      <w:pPr>
        <w:pStyle w:val="Heading3"/>
        <w:numPr>
          <w:ilvl w:val="0"/>
          <w:numId w:val="14"/>
        </w:numPr>
        <w:ind w:left="567" w:hanging="567"/>
        <w:rPr>
          <w:rFonts w:asciiTheme="minorHAnsi" w:hAnsiTheme="minorHAnsi"/>
          <w:b/>
          <w:color w:val="auto"/>
          <w:u w:val="single"/>
        </w:rPr>
      </w:pPr>
      <w:r w:rsidRPr="00EE732C">
        <w:rPr>
          <w:rFonts w:asciiTheme="minorHAnsi" w:hAnsiTheme="minorHAnsi"/>
          <w:b/>
          <w:color w:val="auto"/>
          <w:u w:val="single"/>
        </w:rPr>
        <w:lastRenderedPageBreak/>
        <w:t>Publishing</w:t>
      </w:r>
    </w:p>
    <w:p w14:paraId="56B0CB9D" w14:textId="2801675E" w:rsidR="00EE732C" w:rsidRDefault="00EE732C" w:rsidP="00EE732C"/>
    <w:p w14:paraId="58E737FF" w14:textId="3A7E4BA6" w:rsidR="00B11A51" w:rsidRDefault="00B11A51" w:rsidP="005E44A0">
      <w:pPr>
        <w:jc w:val="both"/>
      </w:pPr>
      <w:r>
        <w:t xml:space="preserve">Publishing agreements with Standards Australia </w:t>
      </w:r>
      <w:r w:rsidR="005E44A0">
        <w:t>permit Responsible Wood to make AS/NZS 4708:2021 available free of charge.</w:t>
      </w:r>
    </w:p>
    <w:p w14:paraId="4FDFB10A" w14:textId="5397A13A" w:rsidR="005E44A0" w:rsidRDefault="005E44A0" w:rsidP="005E44A0">
      <w:pPr>
        <w:jc w:val="both"/>
      </w:pPr>
    </w:p>
    <w:p w14:paraId="7B110AAE" w14:textId="1BA17F64" w:rsidR="005E44A0" w:rsidRDefault="005E44A0" w:rsidP="005E44A0">
      <w:pPr>
        <w:jc w:val="both"/>
      </w:pPr>
      <w:r>
        <w:t>This agreement includes the Standard and any subsequent amendments</w:t>
      </w:r>
      <w:r w:rsidR="000F59A4">
        <w:t xml:space="preserve">. </w:t>
      </w:r>
      <w:r>
        <w:t xml:space="preserve">There are no publishing </w:t>
      </w:r>
      <w:r w:rsidR="00220CF4">
        <w:t>restrictions,</w:t>
      </w:r>
      <w:r>
        <w:t xml:space="preserve"> and the amendment </w:t>
      </w:r>
      <w:r w:rsidR="00F9265F">
        <w:t>can</w:t>
      </w:r>
      <w:r>
        <w:t xml:space="preserve"> be made available on the Responsible Wood website and </w:t>
      </w:r>
      <w:r w:rsidR="008B5C59">
        <w:t>the revised text</w:t>
      </w:r>
      <w:r>
        <w:t xml:space="preserve"> will be included in an updated AS/NZS 4708.</w:t>
      </w:r>
    </w:p>
    <w:p w14:paraId="1D1F82C0" w14:textId="77777777" w:rsidR="00B11A51" w:rsidRDefault="00B11A51" w:rsidP="005E44A0">
      <w:pPr>
        <w:jc w:val="both"/>
      </w:pPr>
    </w:p>
    <w:p w14:paraId="36EB9B31" w14:textId="77777777" w:rsidR="004C1B74" w:rsidRDefault="004C1B74" w:rsidP="004C1B74">
      <w:pPr>
        <w:jc w:val="both"/>
      </w:pPr>
    </w:p>
    <w:p w14:paraId="07AD866A" w14:textId="77777777" w:rsidR="004C1B74" w:rsidRDefault="004C1B74" w:rsidP="004C1B74">
      <w:pPr>
        <w:jc w:val="both"/>
      </w:pPr>
      <w:r>
        <w:t>Simon Dorries</w:t>
      </w:r>
    </w:p>
    <w:p w14:paraId="270A3B4B" w14:textId="77777777" w:rsidR="004C1B74" w:rsidRDefault="004C1B74" w:rsidP="004C1B74">
      <w:pPr>
        <w:jc w:val="both"/>
      </w:pPr>
      <w:r>
        <w:t>Chief Executive Officer</w:t>
      </w:r>
    </w:p>
    <w:p w14:paraId="4E917B38" w14:textId="40B31AA0" w:rsidR="004C1B74" w:rsidRDefault="00B11A51" w:rsidP="004C1B74">
      <w:pPr>
        <w:jc w:val="both"/>
      </w:pPr>
      <w:r>
        <w:t>25</w:t>
      </w:r>
      <w:r w:rsidRPr="00B11A51">
        <w:rPr>
          <w:vertAlign w:val="superscript"/>
        </w:rPr>
        <w:t>th</w:t>
      </w:r>
      <w:r>
        <w:t xml:space="preserve"> February 2022</w:t>
      </w:r>
    </w:p>
    <w:p w14:paraId="3E30FE6B" w14:textId="77777777" w:rsidR="00A2074D" w:rsidRDefault="00A2074D" w:rsidP="004C1B74">
      <w:pPr>
        <w:jc w:val="both"/>
      </w:pPr>
    </w:p>
    <w:sectPr w:rsidR="00A2074D" w:rsidSect="00EA76EC">
      <w:pgSz w:w="11900" w:h="16840"/>
      <w:pgMar w:top="1702" w:right="112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1D4" w14:textId="77777777" w:rsidR="00634283" w:rsidRDefault="00634283" w:rsidP="008B482F">
      <w:r>
        <w:separator/>
      </w:r>
    </w:p>
  </w:endnote>
  <w:endnote w:type="continuationSeparator" w:id="0">
    <w:p w14:paraId="52B90B69" w14:textId="77777777" w:rsidR="00634283" w:rsidRDefault="00634283" w:rsidP="008B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1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FD96BF" w14:textId="5D34D1EA" w:rsidR="00615C44" w:rsidRDefault="00615C4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BE2D86" w14:textId="77777777" w:rsidR="00615C44" w:rsidRDefault="00615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4764" w14:textId="77777777" w:rsidR="00634283" w:rsidRDefault="00634283" w:rsidP="008B482F">
      <w:r>
        <w:separator/>
      </w:r>
    </w:p>
  </w:footnote>
  <w:footnote w:type="continuationSeparator" w:id="0">
    <w:p w14:paraId="5C1CF21F" w14:textId="77777777" w:rsidR="00634283" w:rsidRDefault="00634283" w:rsidP="008B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522"/>
    <w:multiLevelType w:val="hybridMultilevel"/>
    <w:tmpl w:val="CCB4C04E"/>
    <w:lvl w:ilvl="0" w:tplc="E6586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9FA"/>
    <w:multiLevelType w:val="hybridMultilevel"/>
    <w:tmpl w:val="CBF06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D6E"/>
    <w:multiLevelType w:val="hybridMultilevel"/>
    <w:tmpl w:val="15329C4C"/>
    <w:lvl w:ilvl="0" w:tplc="9E267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66F"/>
    <w:multiLevelType w:val="hybridMultilevel"/>
    <w:tmpl w:val="72325C70"/>
    <w:lvl w:ilvl="0" w:tplc="33024D8C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B2A1D"/>
    <w:multiLevelType w:val="hybridMultilevel"/>
    <w:tmpl w:val="5492C24C"/>
    <w:lvl w:ilvl="0" w:tplc="8B5E3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62E5"/>
    <w:multiLevelType w:val="hybridMultilevel"/>
    <w:tmpl w:val="EB5832DE"/>
    <w:lvl w:ilvl="0" w:tplc="B740C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14905"/>
    <w:multiLevelType w:val="hybridMultilevel"/>
    <w:tmpl w:val="A1969356"/>
    <w:lvl w:ilvl="0" w:tplc="ED58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93E67"/>
    <w:multiLevelType w:val="hybridMultilevel"/>
    <w:tmpl w:val="796CC2EA"/>
    <w:lvl w:ilvl="0" w:tplc="38849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5ED"/>
    <w:multiLevelType w:val="hybridMultilevel"/>
    <w:tmpl w:val="BF3E3AB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A11FCE"/>
    <w:multiLevelType w:val="hybridMultilevel"/>
    <w:tmpl w:val="A1166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6BE"/>
    <w:multiLevelType w:val="hybridMultilevel"/>
    <w:tmpl w:val="F27E8048"/>
    <w:lvl w:ilvl="0" w:tplc="E0746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E78EF"/>
    <w:multiLevelType w:val="hybridMultilevel"/>
    <w:tmpl w:val="71400564"/>
    <w:lvl w:ilvl="0" w:tplc="1B78438C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AD0"/>
    <w:multiLevelType w:val="hybridMultilevel"/>
    <w:tmpl w:val="B968390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046F78"/>
    <w:multiLevelType w:val="hybridMultilevel"/>
    <w:tmpl w:val="67C20D62"/>
    <w:lvl w:ilvl="0" w:tplc="AFD2A41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5C4C"/>
    <w:multiLevelType w:val="hybridMultilevel"/>
    <w:tmpl w:val="0D9ED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2F"/>
    <w:rsid w:val="000145F8"/>
    <w:rsid w:val="00024DD0"/>
    <w:rsid w:val="0002675D"/>
    <w:rsid w:val="00027DAE"/>
    <w:rsid w:val="000517B6"/>
    <w:rsid w:val="00062F0A"/>
    <w:rsid w:val="0006313F"/>
    <w:rsid w:val="00072918"/>
    <w:rsid w:val="00076E71"/>
    <w:rsid w:val="000929DC"/>
    <w:rsid w:val="000C165E"/>
    <w:rsid w:val="000D6C9C"/>
    <w:rsid w:val="000F59A4"/>
    <w:rsid w:val="000F5F39"/>
    <w:rsid w:val="00104562"/>
    <w:rsid w:val="00126DF2"/>
    <w:rsid w:val="00137B98"/>
    <w:rsid w:val="00152C87"/>
    <w:rsid w:val="00154CAD"/>
    <w:rsid w:val="00184019"/>
    <w:rsid w:val="001C0336"/>
    <w:rsid w:val="001F0218"/>
    <w:rsid w:val="00220CF4"/>
    <w:rsid w:val="00236492"/>
    <w:rsid w:val="00240AD9"/>
    <w:rsid w:val="00241F0D"/>
    <w:rsid w:val="00250034"/>
    <w:rsid w:val="00260666"/>
    <w:rsid w:val="002710A5"/>
    <w:rsid w:val="002720DD"/>
    <w:rsid w:val="00292A6F"/>
    <w:rsid w:val="002D0BF3"/>
    <w:rsid w:val="002E5C22"/>
    <w:rsid w:val="002E78DA"/>
    <w:rsid w:val="00327920"/>
    <w:rsid w:val="003748E3"/>
    <w:rsid w:val="003769F2"/>
    <w:rsid w:val="00384BA5"/>
    <w:rsid w:val="003B0893"/>
    <w:rsid w:val="003B0E69"/>
    <w:rsid w:val="003B7280"/>
    <w:rsid w:val="003D0030"/>
    <w:rsid w:val="003D5D2F"/>
    <w:rsid w:val="003E03A2"/>
    <w:rsid w:val="003F0D80"/>
    <w:rsid w:val="004249F2"/>
    <w:rsid w:val="0042706E"/>
    <w:rsid w:val="00496C99"/>
    <w:rsid w:val="004B2658"/>
    <w:rsid w:val="004C1B74"/>
    <w:rsid w:val="005050BD"/>
    <w:rsid w:val="0052200D"/>
    <w:rsid w:val="005328C4"/>
    <w:rsid w:val="0053546B"/>
    <w:rsid w:val="00557588"/>
    <w:rsid w:val="005B62FA"/>
    <w:rsid w:val="005E06F3"/>
    <w:rsid w:val="005E44A0"/>
    <w:rsid w:val="00615C44"/>
    <w:rsid w:val="00634283"/>
    <w:rsid w:val="00642375"/>
    <w:rsid w:val="00661371"/>
    <w:rsid w:val="00670352"/>
    <w:rsid w:val="00690840"/>
    <w:rsid w:val="00696757"/>
    <w:rsid w:val="006C5784"/>
    <w:rsid w:val="006C76B9"/>
    <w:rsid w:val="006E3ECC"/>
    <w:rsid w:val="007011F3"/>
    <w:rsid w:val="0070775C"/>
    <w:rsid w:val="00714F48"/>
    <w:rsid w:val="0073034A"/>
    <w:rsid w:val="00730C85"/>
    <w:rsid w:val="007322F8"/>
    <w:rsid w:val="00737851"/>
    <w:rsid w:val="00753FC9"/>
    <w:rsid w:val="00772C93"/>
    <w:rsid w:val="007824DF"/>
    <w:rsid w:val="00795C04"/>
    <w:rsid w:val="007B4C16"/>
    <w:rsid w:val="007C042A"/>
    <w:rsid w:val="007D3175"/>
    <w:rsid w:val="007E4E1D"/>
    <w:rsid w:val="007F622D"/>
    <w:rsid w:val="008206AC"/>
    <w:rsid w:val="00834677"/>
    <w:rsid w:val="0085771A"/>
    <w:rsid w:val="00876F7D"/>
    <w:rsid w:val="00883FC1"/>
    <w:rsid w:val="00894EDF"/>
    <w:rsid w:val="00895015"/>
    <w:rsid w:val="008B482F"/>
    <w:rsid w:val="008B5C59"/>
    <w:rsid w:val="008B5E26"/>
    <w:rsid w:val="008C1DCA"/>
    <w:rsid w:val="00932525"/>
    <w:rsid w:val="00934557"/>
    <w:rsid w:val="00943D0F"/>
    <w:rsid w:val="00945464"/>
    <w:rsid w:val="009955A6"/>
    <w:rsid w:val="009C240E"/>
    <w:rsid w:val="009D4DDE"/>
    <w:rsid w:val="009F0571"/>
    <w:rsid w:val="00A2074D"/>
    <w:rsid w:val="00A43BE1"/>
    <w:rsid w:val="00A757F5"/>
    <w:rsid w:val="00A92347"/>
    <w:rsid w:val="00AF0F3D"/>
    <w:rsid w:val="00B11A51"/>
    <w:rsid w:val="00B27786"/>
    <w:rsid w:val="00B53FE1"/>
    <w:rsid w:val="00B57634"/>
    <w:rsid w:val="00B92D4C"/>
    <w:rsid w:val="00BA06F0"/>
    <w:rsid w:val="00BC19AF"/>
    <w:rsid w:val="00BC4724"/>
    <w:rsid w:val="00BE1DC1"/>
    <w:rsid w:val="00C27F62"/>
    <w:rsid w:val="00C3406E"/>
    <w:rsid w:val="00C57665"/>
    <w:rsid w:val="00C77C21"/>
    <w:rsid w:val="00C90DD2"/>
    <w:rsid w:val="00C963FB"/>
    <w:rsid w:val="00CA2F75"/>
    <w:rsid w:val="00CA6FC7"/>
    <w:rsid w:val="00CD18E1"/>
    <w:rsid w:val="00D12AAD"/>
    <w:rsid w:val="00D46BE2"/>
    <w:rsid w:val="00D51249"/>
    <w:rsid w:val="00D6749B"/>
    <w:rsid w:val="00D72BE5"/>
    <w:rsid w:val="00DC293A"/>
    <w:rsid w:val="00DD2BED"/>
    <w:rsid w:val="00E04494"/>
    <w:rsid w:val="00E211BF"/>
    <w:rsid w:val="00E33CBA"/>
    <w:rsid w:val="00E40B1C"/>
    <w:rsid w:val="00E602AC"/>
    <w:rsid w:val="00E703C4"/>
    <w:rsid w:val="00E723E2"/>
    <w:rsid w:val="00E9722D"/>
    <w:rsid w:val="00EA76EC"/>
    <w:rsid w:val="00EC0351"/>
    <w:rsid w:val="00EE732C"/>
    <w:rsid w:val="00EF32AF"/>
    <w:rsid w:val="00F14C32"/>
    <w:rsid w:val="00F31137"/>
    <w:rsid w:val="00F9265F"/>
    <w:rsid w:val="00F9419C"/>
    <w:rsid w:val="00FA30E7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FAE0E3"/>
  <w14:defaultImageDpi w14:val="300"/>
  <w15:docId w15:val="{5127FD28-8334-46F8-A207-05AC6D10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4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BBody">
    <w:name w:val="ARB Body"/>
    <w:next w:val="Normal"/>
    <w:qFormat/>
    <w:rsid w:val="002D0BF3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8B4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82F"/>
  </w:style>
  <w:style w:type="paragraph" w:styleId="Footer">
    <w:name w:val="footer"/>
    <w:basedOn w:val="Normal"/>
    <w:link w:val="FooterChar"/>
    <w:uiPriority w:val="99"/>
    <w:unhideWhenUsed/>
    <w:rsid w:val="008B4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82F"/>
  </w:style>
  <w:style w:type="paragraph" w:styleId="BalloonText">
    <w:name w:val="Balloon Text"/>
    <w:basedOn w:val="Normal"/>
    <w:link w:val="BalloonTextChar"/>
    <w:uiPriority w:val="99"/>
    <w:semiHidden/>
    <w:unhideWhenUsed/>
    <w:rsid w:val="008B48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2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24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4D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24DF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24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74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A76E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EA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1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Loa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Davis</dc:creator>
  <cp:lastModifiedBy>Tracey Schoemaker</cp:lastModifiedBy>
  <cp:revision>2</cp:revision>
  <cp:lastPrinted>2018-03-23T02:38:00Z</cp:lastPrinted>
  <dcterms:created xsi:type="dcterms:W3CDTF">2022-03-24T00:22:00Z</dcterms:created>
  <dcterms:modified xsi:type="dcterms:W3CDTF">2022-03-24T00:22:00Z</dcterms:modified>
</cp:coreProperties>
</file>